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FC2D7" w14:textId="22E1F4E2" w:rsidR="00932A01" w:rsidRDefault="00932A01">
      <w:r>
        <w:rPr>
          <w:noProof/>
          <w:color w:val="FFFFFF"/>
        </w:rPr>
        <w:drawing>
          <wp:anchor distT="0" distB="0" distL="114300" distR="114300" simplePos="0" relativeHeight="251662335" behindDoc="1" locked="0" layoutInCell="1" allowOverlap="1" wp14:anchorId="10BC22B3" wp14:editId="0A91C64E">
            <wp:simplePos x="0" y="0"/>
            <wp:positionH relativeFrom="column">
              <wp:posOffset>-60290</wp:posOffset>
            </wp:positionH>
            <wp:positionV relativeFrom="page">
              <wp:posOffset>-1</wp:posOffset>
            </wp:positionV>
            <wp:extent cx="7769825" cy="10966553"/>
            <wp:effectExtent l="0" t="0" r="3175" b="6350"/>
            <wp:wrapNone/>
            <wp:docPr id="22" name="Picture 22"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ANSACOV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6286" cy="10975673"/>
                    </a:xfrm>
                    <a:prstGeom prst="rect">
                      <a:avLst/>
                    </a:prstGeom>
                  </pic:spPr>
                </pic:pic>
              </a:graphicData>
            </a:graphic>
            <wp14:sizeRelH relativeFrom="margin">
              <wp14:pctWidth>0</wp14:pctWidth>
            </wp14:sizeRelH>
            <wp14:sizeRelV relativeFrom="margin">
              <wp14:pctHeight>0</wp14:pctHeight>
            </wp14:sizeRelV>
          </wp:anchor>
        </w:drawing>
      </w:r>
    </w:p>
    <w:sdt>
      <w:sdtPr>
        <w:id w:val="-1202009779"/>
        <w:docPartObj>
          <w:docPartGallery w:val="Cover Pages"/>
          <w:docPartUnique/>
        </w:docPartObj>
      </w:sdtPr>
      <w:sdtEndPr>
        <w:rPr>
          <w:noProof/>
          <w:color w:val="FFFFFF"/>
          <w:sz w:val="2"/>
        </w:rPr>
      </w:sdtEndPr>
      <w:sdtContent>
        <w:p w14:paraId="016FCEED" w14:textId="0B3F9FCB" w:rsidR="00297C3C" w:rsidRDefault="00297C3C"/>
        <w:p w14:paraId="39621178" w14:textId="77765A59" w:rsidR="00297C3C" w:rsidRDefault="00F63181">
          <w:pPr>
            <w:rPr>
              <w:noProof/>
              <w:color w:val="FFFFFF"/>
            </w:rPr>
            <w:sectPr w:rsidR="00297C3C" w:rsidSect="00297C3C">
              <w:headerReference w:type="even" r:id="rId9"/>
              <w:headerReference w:type="default" r:id="rId10"/>
              <w:footerReference w:type="even" r:id="rId11"/>
              <w:footerReference w:type="default" r:id="rId12"/>
              <w:pgSz w:w="11906" w:h="16838"/>
              <w:pgMar w:top="0" w:right="0" w:bottom="0" w:left="0" w:header="709" w:footer="709" w:gutter="0"/>
              <w:pgNumType w:start="0"/>
              <w:cols w:space="708"/>
              <w:titlePg/>
              <w:docGrid w:linePitch="360"/>
            </w:sectPr>
          </w:pPr>
          <w:r>
            <w:rPr>
              <w:noProof/>
            </w:rPr>
            <mc:AlternateContent>
              <mc:Choice Requires="wps">
                <w:drawing>
                  <wp:anchor distT="0" distB="0" distL="114300" distR="114300" simplePos="0" relativeHeight="251660288" behindDoc="0" locked="0" layoutInCell="1" allowOverlap="1" wp14:anchorId="3FC888A9" wp14:editId="767792B1">
                    <wp:simplePos x="0" y="0"/>
                    <wp:positionH relativeFrom="column">
                      <wp:posOffset>734060</wp:posOffset>
                    </wp:positionH>
                    <wp:positionV relativeFrom="paragraph">
                      <wp:posOffset>443865</wp:posOffset>
                    </wp:positionV>
                    <wp:extent cx="2402840" cy="478790"/>
                    <wp:effectExtent l="0" t="0" r="0" b="3810"/>
                    <wp:wrapSquare wrapText="bothSides"/>
                    <wp:docPr id="7" name="Text Box 7"/>
                    <wp:cNvGraphicFramePr/>
                    <a:graphic xmlns:a="http://schemas.openxmlformats.org/drawingml/2006/main">
                      <a:graphicData uri="http://schemas.microsoft.com/office/word/2010/wordprocessingShape">
                        <wps:wsp>
                          <wps:cNvSpPr txBox="1"/>
                          <wps:spPr>
                            <a:xfrm>
                              <a:off x="0" y="0"/>
                              <a:ext cx="2402840" cy="478790"/>
                            </a:xfrm>
                            <a:prstGeom prst="rect">
                              <a:avLst/>
                            </a:prstGeom>
                            <a:noFill/>
                            <a:ln w="6350">
                              <a:noFill/>
                            </a:ln>
                          </wps:spPr>
                          <wps:txbx>
                            <w:txbxContent>
                              <w:p w14:paraId="1BE66167" w14:textId="7B234CED" w:rsidR="00A02588" w:rsidRDefault="00F63181" w:rsidP="006E3AE4">
                                <w:pPr>
                                  <w:rPr>
                                    <w:rFonts w:ascii="Poppins" w:hAnsi="Poppins" w:cs="Poppins"/>
                                    <w:b/>
                                    <w:bCs/>
                                    <w:color w:val="FFFFFF"/>
                                    <w:sz w:val="20"/>
                                    <w:szCs w:val="20"/>
                                  </w:rPr>
                                </w:pPr>
                                <w:r>
                                  <w:rPr>
                                    <w:rFonts w:ascii="Poppins" w:hAnsi="Poppins" w:cs="Poppins"/>
                                    <w:b/>
                                    <w:bCs/>
                                    <w:color w:val="FFFFFF"/>
                                    <w:sz w:val="20"/>
                                    <w:szCs w:val="20"/>
                                  </w:rPr>
                                  <w:t xml:space="preserve">Document </w:t>
                                </w:r>
                                <w:proofErr w:type="spellStart"/>
                                <w:r>
                                  <w:rPr>
                                    <w:rFonts w:ascii="Poppins" w:hAnsi="Poppins" w:cs="Poppins"/>
                                    <w:b/>
                                    <w:bCs/>
                                    <w:color w:val="FFFFFF"/>
                                    <w:sz w:val="20"/>
                                    <w:szCs w:val="20"/>
                                  </w:rPr>
                                  <w:t>d’information</w:t>
                                </w:r>
                                <w:proofErr w:type="spellEnd"/>
                                <w:r>
                                  <w:rPr>
                                    <w:rFonts w:ascii="Poppins" w:hAnsi="Poppins" w:cs="Poppins"/>
                                    <w:b/>
                                    <w:bCs/>
                                    <w:color w:val="FFFFFF"/>
                                    <w:sz w:val="20"/>
                                    <w:szCs w:val="20"/>
                                  </w:rPr>
                                  <w:t xml:space="preserve"> </w:t>
                                </w:r>
                                <w:proofErr w:type="spellStart"/>
                                <w:r>
                                  <w:rPr>
                                    <w:rFonts w:ascii="Poppins" w:hAnsi="Poppins" w:cs="Poppins"/>
                                    <w:b/>
                                    <w:bCs/>
                                    <w:color w:val="FFFFFF"/>
                                    <w:sz w:val="20"/>
                                    <w:szCs w:val="20"/>
                                  </w:rPr>
                                  <w:t>d’IANSA</w:t>
                                </w:r>
                                <w:proofErr w:type="spellEnd"/>
                              </w:p>
                              <w:p w14:paraId="49956E89" w14:textId="1E34BD8D" w:rsidR="00A02588" w:rsidRPr="003477C8" w:rsidRDefault="00F63181" w:rsidP="006E3AE4">
                                <w:pPr>
                                  <w:rPr>
                                    <w:rFonts w:ascii="Poppins" w:hAnsi="Poppins" w:cs="Poppins"/>
                                    <w:b/>
                                    <w:bCs/>
                                    <w:color w:val="FFFFFF"/>
                                    <w:sz w:val="20"/>
                                    <w:szCs w:val="20"/>
                                  </w:rPr>
                                </w:pPr>
                                <w:r>
                                  <w:rPr>
                                    <w:rFonts w:ascii="Poppins" w:hAnsi="Poppins" w:cs="Poppins"/>
                                    <w:b/>
                                    <w:bCs/>
                                    <w:color w:val="FFFFFF"/>
                                    <w:sz w:val="20"/>
                                    <w:szCs w:val="20"/>
                                  </w:rPr>
                                  <w:t>Mai</w:t>
                                </w:r>
                                <w:r w:rsidR="00A02588">
                                  <w:rPr>
                                    <w:rFonts w:ascii="Poppins" w:hAnsi="Poppins" w:cs="Poppins"/>
                                    <w:b/>
                                    <w:bCs/>
                                    <w:color w:val="FFFFFF"/>
                                    <w:sz w:val="20"/>
                                    <w:szCs w:val="20"/>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C888A9" id="_x0000_t202" coordsize="21600,21600" o:spt="202" path="m0,0l0,21600,21600,21600,21600,0xe">
                    <v:stroke joinstyle="miter"/>
                    <v:path gradientshapeok="t" o:connecttype="rect"/>
                  </v:shapetype>
                  <v:shape id="Text Box 7" o:spid="_x0000_s1026" type="#_x0000_t202" style="position:absolute;margin-left:57.8pt;margin-top:34.95pt;width:189.2pt;height:37.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" filled="f" stroked="f" strokeweight=".5pt">
                    <v:textbox style="mso-fit-shape-to-text:t">
                      <w:txbxContent>
                        <w:p w14:paraId="1BE66167" w14:textId="7B234CED" w:rsidR="00A02588" w:rsidRDefault="00F63181" w:rsidP="006E3AE4">
                          <w:pPr>
                            <w:rPr>
                              <w:rFonts w:ascii="Poppins" w:hAnsi="Poppins" w:cs="Poppins"/>
                              <w:b/>
                              <w:bCs/>
                              <w:color w:val="FFFFFF"/>
                              <w:sz w:val="20"/>
                              <w:szCs w:val="20"/>
                            </w:rPr>
                          </w:pPr>
                          <w:r>
                            <w:rPr>
                              <w:rFonts w:ascii="Poppins" w:hAnsi="Poppins" w:cs="Poppins"/>
                              <w:b/>
                              <w:bCs/>
                              <w:color w:val="FFFFFF"/>
                              <w:sz w:val="20"/>
                              <w:szCs w:val="20"/>
                            </w:rPr>
                            <w:t xml:space="preserve">Document </w:t>
                          </w:r>
                          <w:proofErr w:type="spellStart"/>
                          <w:r>
                            <w:rPr>
                              <w:rFonts w:ascii="Poppins" w:hAnsi="Poppins" w:cs="Poppins"/>
                              <w:b/>
                              <w:bCs/>
                              <w:color w:val="FFFFFF"/>
                              <w:sz w:val="20"/>
                              <w:szCs w:val="20"/>
                            </w:rPr>
                            <w:t>d’information</w:t>
                          </w:r>
                          <w:proofErr w:type="spellEnd"/>
                          <w:r>
                            <w:rPr>
                              <w:rFonts w:ascii="Poppins" w:hAnsi="Poppins" w:cs="Poppins"/>
                              <w:b/>
                              <w:bCs/>
                              <w:color w:val="FFFFFF"/>
                              <w:sz w:val="20"/>
                              <w:szCs w:val="20"/>
                            </w:rPr>
                            <w:t xml:space="preserve"> </w:t>
                          </w:r>
                          <w:proofErr w:type="spellStart"/>
                          <w:r>
                            <w:rPr>
                              <w:rFonts w:ascii="Poppins" w:hAnsi="Poppins" w:cs="Poppins"/>
                              <w:b/>
                              <w:bCs/>
                              <w:color w:val="FFFFFF"/>
                              <w:sz w:val="20"/>
                              <w:szCs w:val="20"/>
                            </w:rPr>
                            <w:t>d’IANSA</w:t>
                          </w:r>
                          <w:proofErr w:type="spellEnd"/>
                        </w:p>
                        <w:p w14:paraId="49956E89" w14:textId="1E34BD8D" w:rsidR="00A02588" w:rsidRPr="003477C8" w:rsidRDefault="00F63181" w:rsidP="006E3AE4">
                          <w:pPr>
                            <w:rPr>
                              <w:rFonts w:ascii="Poppins" w:hAnsi="Poppins" w:cs="Poppins"/>
                              <w:b/>
                              <w:bCs/>
                              <w:color w:val="FFFFFF"/>
                              <w:sz w:val="20"/>
                              <w:szCs w:val="20"/>
                            </w:rPr>
                          </w:pPr>
                          <w:r>
                            <w:rPr>
                              <w:rFonts w:ascii="Poppins" w:hAnsi="Poppins" w:cs="Poppins"/>
                              <w:b/>
                              <w:bCs/>
                              <w:color w:val="FFFFFF"/>
                              <w:sz w:val="20"/>
                              <w:szCs w:val="20"/>
                            </w:rPr>
                            <w:t>Mai</w:t>
                          </w:r>
                          <w:r w:rsidR="00A02588">
                            <w:rPr>
                              <w:rFonts w:ascii="Poppins" w:hAnsi="Poppins" w:cs="Poppins"/>
                              <w:b/>
                              <w:bCs/>
                              <w:color w:val="FFFFFF"/>
                              <w:sz w:val="20"/>
                              <w:szCs w:val="20"/>
                            </w:rPr>
                            <w:t xml:space="preserve"> 2022</w:t>
                          </w:r>
                        </w:p>
                      </w:txbxContent>
                    </v:textbox>
                    <w10:wrap type="square"/>
                  </v:shape>
                </w:pict>
              </mc:Fallback>
            </mc:AlternateContent>
          </w:r>
          <w:r w:rsidR="00E66F42">
            <w:rPr>
              <w:noProof/>
            </w:rPr>
            <w:drawing>
              <wp:anchor distT="0" distB="0" distL="114300" distR="114300" simplePos="0" relativeHeight="251674624" behindDoc="0" locked="0" layoutInCell="1" allowOverlap="1" wp14:anchorId="5C4D7D1A" wp14:editId="1274F3EF">
                <wp:simplePos x="0" y="0"/>
                <wp:positionH relativeFrom="column">
                  <wp:posOffset>-61595</wp:posOffset>
                </wp:positionH>
                <wp:positionV relativeFrom="paragraph">
                  <wp:posOffset>3545205</wp:posOffset>
                </wp:positionV>
                <wp:extent cx="7602876" cy="39973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old generation 16 days 1 .jpeg"/>
                        <pic:cNvPicPr/>
                      </pic:nvPicPr>
                      <pic:blipFill rotWithShape="1">
                        <a:blip r:embed="rId13" cstate="print">
                          <a:extLst>
                            <a:ext uri="{28A0092B-C50C-407E-A947-70E740481C1C}">
                              <a14:useLocalDpi xmlns:a14="http://schemas.microsoft.com/office/drawing/2010/main" val="0"/>
                            </a:ext>
                          </a:extLst>
                        </a:blip>
                        <a:srcRect t="30477" r="823"/>
                        <a:stretch/>
                      </pic:blipFill>
                      <pic:spPr bwMode="auto">
                        <a:xfrm>
                          <a:off x="0" y="0"/>
                          <a:ext cx="7602876" cy="399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6F42">
            <w:rPr>
              <w:noProof/>
            </w:rPr>
            <mc:AlternateContent>
              <mc:Choice Requires="wps">
                <w:drawing>
                  <wp:anchor distT="0" distB="0" distL="114300" distR="114300" simplePos="0" relativeHeight="251664384" behindDoc="0" locked="0" layoutInCell="1" allowOverlap="1" wp14:anchorId="3C7CC4F6" wp14:editId="4031B3F1">
                    <wp:simplePos x="0" y="0"/>
                    <wp:positionH relativeFrom="column">
                      <wp:posOffset>732155</wp:posOffset>
                    </wp:positionH>
                    <wp:positionV relativeFrom="paragraph">
                      <wp:posOffset>1133475</wp:posOffset>
                    </wp:positionV>
                    <wp:extent cx="6320155" cy="4135120"/>
                    <wp:effectExtent l="0" t="0" r="0" b="5080"/>
                    <wp:wrapSquare wrapText="bothSides"/>
                    <wp:docPr id="6" name="Text Box 6"/>
                    <wp:cNvGraphicFramePr/>
                    <a:graphic xmlns:a="http://schemas.openxmlformats.org/drawingml/2006/main">
                      <a:graphicData uri="http://schemas.microsoft.com/office/word/2010/wordprocessingShape">
                        <wps:wsp>
                          <wps:cNvSpPr txBox="1"/>
                          <wps:spPr>
                            <a:xfrm>
                              <a:off x="0" y="0"/>
                              <a:ext cx="6320155" cy="4135120"/>
                            </a:xfrm>
                            <a:prstGeom prst="rect">
                              <a:avLst/>
                            </a:prstGeom>
                            <a:noFill/>
                            <a:ln w="6350">
                              <a:noFill/>
                            </a:ln>
                          </wps:spPr>
                          <wps:txbx>
                            <w:txbxContent>
                              <w:p w14:paraId="60C5FC50" w14:textId="52603113" w:rsidR="00F63181" w:rsidRPr="00F63181" w:rsidRDefault="00F63181" w:rsidP="00F63181">
                                <w:pPr>
                                  <w:rPr>
                                    <w:rFonts w:ascii="Poppins" w:eastAsiaTheme="minorHAnsi" w:hAnsi="Poppins" w:cs="Poppins"/>
                                    <w:b/>
                                    <w:bCs/>
                                    <w:color w:val="FFFFFF" w:themeColor="background1"/>
                                    <w:sz w:val="44"/>
                                    <w:szCs w:val="52"/>
                                    <w:lang w:val="fr-FR"/>
                                  </w:rPr>
                                </w:pPr>
                                <w:r w:rsidRPr="00F63181">
                                  <w:rPr>
                                    <w:rFonts w:ascii="Poppins" w:eastAsiaTheme="minorHAnsi" w:hAnsi="Poppins" w:cs="Poppins"/>
                                    <w:b/>
                                    <w:bCs/>
                                    <w:color w:val="FF0000"/>
                                    <w:sz w:val="44"/>
                                    <w:szCs w:val="52"/>
                                    <w:lang w:val="fr-FR"/>
                                  </w:rPr>
                                  <w:t xml:space="preserve">Les armes légères et de petit calibre : </w:t>
                                </w:r>
                                <w:r w:rsidRPr="00F63181">
                                  <w:rPr>
                                    <w:rFonts w:ascii="Poppins" w:eastAsiaTheme="minorHAnsi" w:hAnsi="Poppins" w:cs="Poppins"/>
                                    <w:b/>
                                    <w:bCs/>
                                    <w:color w:val="FFFFFF" w:themeColor="background1"/>
                                    <w:sz w:val="44"/>
                                    <w:szCs w:val="52"/>
                                    <w:lang w:val="fr-FR"/>
                                  </w:rPr>
                                  <w:t>raisons pour lesquelles des contrôles stricts sont nécessaires de toute urgence</w:t>
                                </w:r>
                              </w:p>
                              <w:p w14:paraId="7463BAC3" w14:textId="281713F7" w:rsidR="00A02588" w:rsidRPr="00033C7F" w:rsidRDefault="00A02588" w:rsidP="00317025">
                                <w:pPr>
                                  <w:rPr>
                                    <w:rFonts w:ascii="Poppins" w:eastAsiaTheme="minorHAnsi" w:hAnsi="Poppins" w:cs="Poppins"/>
                                    <w:b/>
                                    <w:bCs/>
                                    <w:color w:val="F4333E" w:themeColor="accent2"/>
                                    <w:sz w:val="52"/>
                                    <w:szCs w:val="52"/>
                                  </w:rPr>
                                </w:pPr>
                                <w:r w:rsidRPr="00033C7F">
                                  <w:rPr>
                                    <w:rFonts w:ascii="Poppins" w:eastAsiaTheme="minorHAnsi" w:hAnsi="Poppins" w:cs="Poppins"/>
                                    <w:b/>
                                    <w:bCs/>
                                    <w:color w:val="FFFFFF" w:themeColor="background1"/>
                                    <w:sz w:val="52"/>
                                    <w:szCs w:val="52"/>
                                  </w:rPr>
                                  <w:t xml:space="preserve"> </w:t>
                                </w:r>
                              </w:p>
                              <w:p w14:paraId="269A88CB" w14:textId="47C184B7" w:rsidR="00A02588" w:rsidRPr="00ED5704" w:rsidRDefault="00A02588" w:rsidP="00995D99">
                                <w:pPr>
                                  <w:rPr>
                                    <w:rFonts w:ascii="Poppins" w:eastAsiaTheme="minorHAnsi" w:hAnsi="Poppins" w:cs="Poppins"/>
                                    <w:b/>
                                    <w:bCs/>
                                    <w:color w:val="FFFFFF" w:themeColor="background1"/>
                                    <w:sz w:val="56"/>
                                    <w:szCs w:val="52"/>
                                  </w:rPr>
                                </w:pPr>
                              </w:p>
                              <w:p w14:paraId="431EE589" w14:textId="117E9ADB" w:rsidR="00A02588" w:rsidRPr="00ED5704" w:rsidRDefault="00A02588" w:rsidP="00995D99">
                                <w:pPr>
                                  <w:rPr>
                                    <w:rFonts w:ascii="Poppins" w:eastAsiaTheme="minorHAnsi" w:hAnsi="Poppins" w:cs="Poppins"/>
                                    <w:b/>
                                    <w:bCs/>
                                    <w:color w:val="FFFFFF" w:themeColor="background1"/>
                                    <w:sz w:val="56"/>
                                    <w:szCs w:val="52"/>
                                    <w:lang w:val="en-GB"/>
                                  </w:rPr>
                                </w:pPr>
                              </w:p>
                              <w:p w14:paraId="13588F77" w14:textId="77777777" w:rsidR="00A02588" w:rsidRPr="00ED5704" w:rsidRDefault="00A02588" w:rsidP="00995D99">
                                <w:pPr>
                                  <w:rPr>
                                    <w:rFonts w:ascii="Poppins" w:hAnsi="Poppins" w:cs="Poppins"/>
                                    <w:b/>
                                    <w:bCs/>
                                    <w:color w:val="F5333F"/>
                                    <w:sz w:val="56"/>
                                    <w:szCs w:val="52"/>
                                  </w:rPr>
                                </w:pPr>
                              </w:p>
                              <w:p w14:paraId="16F4392C" w14:textId="2CE5E0AA" w:rsidR="00A02588" w:rsidRPr="00ED5704" w:rsidRDefault="00A02588" w:rsidP="00995D99">
                                <w:pPr>
                                  <w:rPr>
                                    <w:rFonts w:ascii="Poppins" w:hAnsi="Poppins" w:cs="Poppins"/>
                                    <w:b/>
                                    <w:bCs/>
                                    <w:color w:val="414046" w:themeColor="text1"/>
                                    <w:sz w:val="56"/>
                                    <w:szCs w:val="52"/>
                                  </w:rPr>
                                </w:pPr>
                                <w:r w:rsidRPr="00ED5704">
                                  <w:rPr>
                                    <w:rFonts w:ascii="Poppins" w:hAnsi="Poppins" w:cs="Poppins"/>
                                    <w:b/>
                                    <w:bCs/>
                                    <w:color w:val="F5333F"/>
                                    <w:sz w:val="56"/>
                                    <w:szCs w:val="52"/>
                                  </w:rPr>
                                  <w:t>.</w:t>
                                </w:r>
                                <w:r w:rsidRPr="00ED5704">
                                  <w:rPr>
                                    <w:noProof/>
                                    <w:color w:val="FFFFFF"/>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CC4F6" id="Text Box 6" o:spid="_x0000_s1027" type="#_x0000_t202" style="position:absolute;margin-left:57.65pt;margin-top:89.25pt;width:497.65pt;height:32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" filled="f" stroked="f" strokeweight=".5pt">
                    <v:textbox>
                      <w:txbxContent>
                        <w:p w14:paraId="60C5FC50" w14:textId="52603113" w:rsidR="00F63181" w:rsidRPr="00F63181" w:rsidRDefault="00F63181" w:rsidP="00F63181">
                          <w:pPr>
                            <w:rPr>
                              <w:rFonts w:ascii="Poppins" w:eastAsiaTheme="minorHAnsi" w:hAnsi="Poppins" w:cs="Poppins"/>
                              <w:b/>
                              <w:bCs/>
                              <w:color w:val="FFFFFF" w:themeColor="background1"/>
                              <w:sz w:val="44"/>
                              <w:szCs w:val="52"/>
                              <w:lang w:val="fr-FR"/>
                            </w:rPr>
                          </w:pPr>
                          <w:r w:rsidRPr="00F63181">
                            <w:rPr>
                              <w:rFonts w:ascii="Poppins" w:eastAsiaTheme="minorHAnsi" w:hAnsi="Poppins" w:cs="Poppins"/>
                              <w:b/>
                              <w:bCs/>
                              <w:color w:val="FF0000"/>
                              <w:sz w:val="44"/>
                              <w:szCs w:val="52"/>
                              <w:lang w:val="fr-FR"/>
                            </w:rPr>
                            <w:t xml:space="preserve">Les armes légères et de petit calibre : </w:t>
                          </w:r>
                          <w:r w:rsidRPr="00F63181">
                            <w:rPr>
                              <w:rFonts w:ascii="Poppins" w:eastAsiaTheme="minorHAnsi" w:hAnsi="Poppins" w:cs="Poppins"/>
                              <w:b/>
                              <w:bCs/>
                              <w:color w:val="FFFFFF" w:themeColor="background1"/>
                              <w:sz w:val="44"/>
                              <w:szCs w:val="52"/>
                              <w:lang w:val="fr-FR"/>
                            </w:rPr>
                            <w:t>raisons pour lesquelles des contrôles stricts sont nécessaires de toute urgence</w:t>
                          </w:r>
                        </w:p>
                        <w:p w14:paraId="7463BAC3" w14:textId="281713F7" w:rsidR="00A02588" w:rsidRPr="00033C7F" w:rsidRDefault="00A02588" w:rsidP="00317025">
                          <w:pPr>
                            <w:rPr>
                              <w:rFonts w:ascii="Poppins" w:eastAsiaTheme="minorHAnsi" w:hAnsi="Poppins" w:cs="Poppins"/>
                              <w:b/>
                              <w:bCs/>
                              <w:color w:val="F4333E" w:themeColor="accent2"/>
                              <w:sz w:val="52"/>
                              <w:szCs w:val="52"/>
                            </w:rPr>
                          </w:pPr>
                          <w:r w:rsidRPr="00033C7F">
                            <w:rPr>
                              <w:rFonts w:ascii="Poppins" w:eastAsiaTheme="minorHAnsi" w:hAnsi="Poppins" w:cs="Poppins"/>
                              <w:b/>
                              <w:bCs/>
                              <w:color w:val="FFFFFF" w:themeColor="background1"/>
                              <w:sz w:val="52"/>
                              <w:szCs w:val="52"/>
                            </w:rPr>
                            <w:t xml:space="preserve"> </w:t>
                          </w:r>
                        </w:p>
                        <w:p w14:paraId="269A88CB" w14:textId="47C184B7" w:rsidR="00A02588" w:rsidRPr="00ED5704" w:rsidRDefault="00A02588" w:rsidP="00995D99">
                          <w:pPr>
                            <w:rPr>
                              <w:rFonts w:ascii="Poppins" w:eastAsiaTheme="minorHAnsi" w:hAnsi="Poppins" w:cs="Poppins"/>
                              <w:b/>
                              <w:bCs/>
                              <w:color w:val="FFFFFF" w:themeColor="background1"/>
                              <w:sz w:val="56"/>
                              <w:szCs w:val="52"/>
                            </w:rPr>
                          </w:pPr>
                        </w:p>
                        <w:p w14:paraId="431EE589" w14:textId="117E9ADB" w:rsidR="00A02588" w:rsidRPr="00ED5704" w:rsidRDefault="00A02588" w:rsidP="00995D99">
                          <w:pPr>
                            <w:rPr>
                              <w:rFonts w:ascii="Poppins" w:eastAsiaTheme="minorHAnsi" w:hAnsi="Poppins" w:cs="Poppins"/>
                              <w:b/>
                              <w:bCs/>
                              <w:color w:val="FFFFFF" w:themeColor="background1"/>
                              <w:sz w:val="56"/>
                              <w:szCs w:val="52"/>
                              <w:lang w:val="en-GB"/>
                            </w:rPr>
                          </w:pPr>
                        </w:p>
                        <w:p w14:paraId="13588F77" w14:textId="77777777" w:rsidR="00A02588" w:rsidRPr="00ED5704" w:rsidRDefault="00A02588" w:rsidP="00995D99">
                          <w:pPr>
                            <w:rPr>
                              <w:rFonts w:ascii="Poppins" w:hAnsi="Poppins" w:cs="Poppins"/>
                              <w:b/>
                              <w:bCs/>
                              <w:color w:val="F5333F"/>
                              <w:sz w:val="56"/>
                              <w:szCs w:val="52"/>
                            </w:rPr>
                          </w:pPr>
                        </w:p>
                        <w:p w14:paraId="16F4392C" w14:textId="2CE5E0AA" w:rsidR="00A02588" w:rsidRPr="00ED5704" w:rsidRDefault="00A02588" w:rsidP="00995D99">
                          <w:pPr>
                            <w:rPr>
                              <w:rFonts w:ascii="Poppins" w:hAnsi="Poppins" w:cs="Poppins"/>
                              <w:b/>
                              <w:bCs/>
                              <w:color w:val="414046" w:themeColor="text1"/>
                              <w:sz w:val="56"/>
                              <w:szCs w:val="52"/>
                            </w:rPr>
                          </w:pPr>
                          <w:r w:rsidRPr="00ED5704">
                            <w:rPr>
                              <w:rFonts w:ascii="Poppins" w:hAnsi="Poppins" w:cs="Poppins"/>
                              <w:b/>
                              <w:bCs/>
                              <w:color w:val="F5333F"/>
                              <w:sz w:val="56"/>
                              <w:szCs w:val="52"/>
                            </w:rPr>
                            <w:t>.</w:t>
                          </w:r>
                          <w:r w:rsidRPr="00ED5704">
                            <w:rPr>
                              <w:noProof/>
                              <w:color w:val="FFFFFF"/>
                              <w:sz w:val="28"/>
                            </w:rPr>
                            <w:t xml:space="preserve"> </w:t>
                          </w:r>
                        </w:p>
                      </w:txbxContent>
                    </v:textbox>
                    <w10:wrap type="square"/>
                  </v:shape>
                </w:pict>
              </mc:Fallback>
            </mc:AlternateContent>
          </w:r>
        </w:p>
        <w:p w14:paraId="02450B5B" w14:textId="5EB963A6" w:rsidR="00B55011" w:rsidRDefault="00B55011" w:rsidP="00215FD3">
          <w:pPr>
            <w:rPr>
              <w:noProof/>
              <w:color w:val="FFFFFF"/>
            </w:rPr>
            <w:sectPr w:rsidR="00B55011" w:rsidSect="00297C3C">
              <w:pgSz w:w="11906" w:h="16838"/>
              <w:pgMar w:top="1440" w:right="1080" w:bottom="1440" w:left="1080" w:header="708" w:footer="708" w:gutter="0"/>
              <w:pgNumType w:start="1"/>
              <w:cols w:space="708"/>
              <w:docGrid w:linePitch="360"/>
            </w:sectPr>
          </w:pPr>
        </w:p>
        <w:p w14:paraId="2DD14A12" w14:textId="77777777" w:rsidR="00215FD3" w:rsidRPr="00FD1E06" w:rsidRDefault="0084394B" w:rsidP="00215FD3">
          <w:pPr>
            <w:rPr>
              <w:noProof/>
              <w:color w:val="FFFFFF"/>
              <w:sz w:val="2"/>
            </w:rPr>
          </w:pPr>
        </w:p>
      </w:sdtContent>
    </w:sdt>
    <w:p w14:paraId="2DD4A095" w14:textId="78CE3826" w:rsidR="00317025" w:rsidRPr="00F63181" w:rsidRDefault="00F63181" w:rsidP="00317025">
      <w:pPr>
        <w:pStyle w:val="IANSA-RedLine"/>
        <w:spacing w:line="168" w:lineRule="auto"/>
        <w:rPr>
          <w:rFonts w:ascii="Poppins" w:hAnsi="Poppins" w:cs="Poppins"/>
          <w:color w:val="001E61"/>
          <w:sz w:val="44"/>
          <w:szCs w:val="58"/>
          <w:lang w:val="fr-FR"/>
        </w:rPr>
      </w:pPr>
      <w:r w:rsidRPr="00F63181">
        <w:rPr>
          <w:rFonts w:ascii="Poppins" w:hAnsi="Poppins" w:cs="Poppins"/>
          <w:color w:val="001E61"/>
          <w:sz w:val="44"/>
          <w:szCs w:val="58"/>
          <w:lang w:val="fr-FR"/>
        </w:rPr>
        <w:t>Les armes légères et de petit calibre : raisons pour lesquelles des contrôles stricts sont nécessaires de toute urgence</w:t>
      </w:r>
    </w:p>
    <w:p w14:paraId="29518109" w14:textId="77777777" w:rsidR="00317025" w:rsidRPr="00A2134C" w:rsidRDefault="00317025" w:rsidP="00317025">
      <w:pPr>
        <w:pStyle w:val="IANSA-RedLine"/>
        <w:jc w:val="both"/>
        <w:rPr>
          <w:rFonts w:ascii="Poppins" w:hAnsi="Poppins" w:cs="Poppins"/>
          <w:color w:val="001E61"/>
          <w:sz w:val="15"/>
          <w:szCs w:val="58"/>
          <w:lang w:val="en-US"/>
        </w:rPr>
      </w:pPr>
    </w:p>
    <w:p w14:paraId="4BE976BB" w14:textId="12D9740A" w:rsidR="003477C8" w:rsidRPr="00F63181" w:rsidRDefault="00F63181" w:rsidP="00F63181">
      <w:pPr>
        <w:pStyle w:val="IANSA-RedLine"/>
        <w:rPr>
          <w:rFonts w:ascii="Poppins" w:hAnsi="Poppins"/>
          <w:lang w:val="fr-FR"/>
        </w:rPr>
      </w:pPr>
      <w:r w:rsidRPr="00F63181">
        <w:rPr>
          <w:rFonts w:ascii="Poppins" w:hAnsi="Poppins"/>
          <w:lang w:val="fr-FR"/>
        </w:rPr>
        <w:t>Il est crucial que les contrôles des armes légères et de petit calibre (ALPC) soient considérés comme une partie importante des mesures de lutte contre la violence armée et les conflits. Le but de ce document d'information est d'abord d'examiner le lien entre la disponibilité des ALPC et la violence et les façons dont ALPC prolifèrent dans le monde. Ce document d’information décrit également certains des dommages importants qui sont facilités par l'absence de contrôles ou de mesures efficaces pour réduire la demande d'armes. En outre, le document d’information expose brièvement certaines des limites légales qui existent sur les ALPC et inclut des idées d'actions urgentes que les organisations de la société civile peuvent prendre pour plaider en faveur de contrôles efficaces des ALPC</w:t>
      </w:r>
      <w:r>
        <w:rPr>
          <w:rFonts w:ascii="Poppins" w:hAnsi="Poppins"/>
          <w:lang w:val="fr-FR"/>
        </w:rPr>
        <w:t>.</w:t>
      </w:r>
    </w:p>
    <w:p w14:paraId="16F8F50F" w14:textId="77777777" w:rsidR="00075051" w:rsidRPr="00A2134C" w:rsidRDefault="00075051" w:rsidP="00075051">
      <w:pPr>
        <w:pStyle w:val="IANSA-RedLine"/>
        <w:rPr>
          <w:rFonts w:ascii="Poppins" w:hAnsi="Poppins"/>
        </w:rPr>
      </w:pPr>
    </w:p>
    <w:p w14:paraId="67DDFC17" w14:textId="77777777" w:rsidR="00075051" w:rsidRPr="00A2134C" w:rsidRDefault="00075051" w:rsidP="00075051">
      <w:pPr>
        <w:pStyle w:val="IANSA-QuoteSourceName"/>
      </w:pPr>
    </w:p>
    <w:p w14:paraId="5A03E94F" w14:textId="62C38B8E" w:rsidR="00317025" w:rsidRPr="00F63181" w:rsidRDefault="00F63181" w:rsidP="00112B9C">
      <w:pPr>
        <w:ind w:right="104"/>
        <w:jc w:val="both"/>
        <w:rPr>
          <w:rFonts w:ascii="Poppins" w:hAnsi="Poppins" w:cstheme="minorHAnsi"/>
          <w:b/>
          <w:bCs/>
          <w:color w:val="002060"/>
          <w:sz w:val="20"/>
          <w:szCs w:val="18"/>
          <w:lang w:val="fr-FR"/>
        </w:rPr>
      </w:pPr>
      <w:r w:rsidRPr="00F63181">
        <w:rPr>
          <w:rFonts w:ascii="Poppins" w:hAnsi="Poppins" w:cstheme="minorHAnsi"/>
          <w:b/>
          <w:bCs/>
          <w:color w:val="002060"/>
          <w:sz w:val="20"/>
          <w:szCs w:val="18"/>
          <w:lang w:val="fr-FR"/>
        </w:rPr>
        <w:t>Disponibilité des ALPC et violence</w:t>
      </w:r>
    </w:p>
    <w:p w14:paraId="631A651F" w14:textId="77777777" w:rsidR="00317025" w:rsidRPr="00A2134C" w:rsidRDefault="00317025" w:rsidP="00317025">
      <w:pPr>
        <w:jc w:val="both"/>
        <w:rPr>
          <w:rFonts w:ascii="Poppins" w:hAnsi="Poppins" w:cstheme="minorHAnsi"/>
          <w:sz w:val="18"/>
          <w:szCs w:val="18"/>
          <w:lang w:val="en-GB"/>
        </w:rPr>
      </w:pPr>
    </w:p>
    <w:p w14:paraId="4B109052" w14:textId="6C781A20" w:rsidR="00195E68" w:rsidRPr="00F63181" w:rsidRDefault="00F63181" w:rsidP="00005C25">
      <w:pPr>
        <w:jc w:val="both"/>
        <w:rPr>
          <w:rFonts w:asciiTheme="majorBidi" w:hAnsiTheme="majorBidi" w:cstheme="majorBidi"/>
          <w:lang w:val="fr-FR"/>
        </w:rPr>
      </w:pPr>
      <w:r w:rsidRPr="00F63181">
        <w:rPr>
          <w:rFonts w:ascii="Poppins" w:hAnsi="Poppins" w:cstheme="majorBidi"/>
          <w:sz w:val="18"/>
          <w:lang w:val="fr-FR"/>
        </w:rPr>
        <w:t>Une estimation raisonnable est qu'un milliard d'armes légères étaient en circulation dans le monde en 2017. Plus des deux tiers de ces armes seraient détenues par des civils, des sociétés de sécurité et des groupes non étatiques.</w:t>
      </w:r>
      <w:r w:rsidRPr="00F63181">
        <w:rPr>
          <w:rStyle w:val="FootnoteReference"/>
          <w:rFonts w:cstheme="majorBidi"/>
          <w:sz w:val="18"/>
          <w:lang w:val="fr-FR"/>
        </w:rPr>
        <w:footnoteReference w:id="1"/>
      </w:r>
      <w:r w:rsidRPr="00F63181">
        <w:rPr>
          <w:rFonts w:ascii="Poppins" w:hAnsi="Poppins"/>
          <w:sz w:val="18"/>
          <w:lang w:val="fr-FR"/>
        </w:rPr>
        <w:t xml:space="preserve"> </w:t>
      </w:r>
      <w:r w:rsidRPr="00F63181">
        <w:rPr>
          <w:rFonts w:ascii="Poppins" w:hAnsi="Poppins" w:cstheme="majorBidi"/>
          <w:sz w:val="18"/>
          <w:lang w:val="fr-FR"/>
        </w:rPr>
        <w:t>On estime qu'en 2018, plus de 220 000 personnes ont été tuées dans le monde à la suite de violences armées commises avec des ALPC, ce qui représente près de 40 % de toutes les morts violentes.</w:t>
      </w:r>
      <w:r w:rsidRPr="00F63181">
        <w:rPr>
          <w:rStyle w:val="FootnoteReference"/>
          <w:rFonts w:cstheme="majorBidi"/>
          <w:sz w:val="18"/>
          <w:lang w:val="fr-FR"/>
        </w:rPr>
        <w:footnoteReference w:id="2"/>
      </w:r>
    </w:p>
    <w:p w14:paraId="48AFDA53" w14:textId="77777777" w:rsidR="00195E68" w:rsidRPr="00A2134C" w:rsidRDefault="00195E68" w:rsidP="003477C8">
      <w:pPr>
        <w:ind w:right="104"/>
        <w:jc w:val="both"/>
        <w:rPr>
          <w:rFonts w:ascii="Poppins" w:hAnsi="Poppins"/>
          <w:sz w:val="18"/>
          <w:szCs w:val="18"/>
        </w:rPr>
      </w:pPr>
    </w:p>
    <w:p w14:paraId="27955A58" w14:textId="18CEFBFA" w:rsidR="00005C25" w:rsidRPr="00F63181" w:rsidRDefault="00F63181" w:rsidP="001C36A9">
      <w:pPr>
        <w:pBdr>
          <w:top w:val="single" w:sz="4" w:space="1" w:color="000000"/>
          <w:left w:val="single" w:sz="4" w:space="4" w:color="000000"/>
          <w:bottom w:val="single" w:sz="4" w:space="1" w:color="000000"/>
          <w:right w:val="single" w:sz="4" w:space="4" w:color="000000"/>
        </w:pBdr>
        <w:shd w:val="clear" w:color="auto" w:fill="002060"/>
        <w:tabs>
          <w:tab w:val="right" w:pos="9746"/>
        </w:tabs>
        <w:jc w:val="both"/>
        <w:rPr>
          <w:rFonts w:ascii="Poppins" w:hAnsi="Poppins"/>
          <w:b/>
          <w:bCs/>
          <w:sz w:val="20"/>
          <w:szCs w:val="18"/>
          <w:lang w:val="fr-FR"/>
        </w:rPr>
      </w:pPr>
      <w:r w:rsidRPr="00F63181">
        <w:rPr>
          <w:rFonts w:ascii="Poppins" w:hAnsi="Poppins"/>
          <w:b/>
          <w:bCs/>
          <w:sz w:val="20"/>
          <w:szCs w:val="18"/>
          <w:lang w:val="fr-FR"/>
        </w:rPr>
        <w:t>Que sont les armes légères et de petit calibre ?</w:t>
      </w:r>
      <w:r w:rsidR="001C36A9">
        <w:rPr>
          <w:rFonts w:ascii="Poppins" w:hAnsi="Poppins"/>
          <w:b/>
          <w:sz w:val="20"/>
          <w:szCs w:val="18"/>
        </w:rPr>
        <w:tab/>
      </w:r>
    </w:p>
    <w:p w14:paraId="27B7B9C9" w14:textId="77777777" w:rsidR="00005C25" w:rsidRPr="00C41F00" w:rsidRDefault="00005C25" w:rsidP="00DD5C48">
      <w:pPr>
        <w:pBdr>
          <w:top w:val="single" w:sz="4" w:space="1" w:color="000000"/>
          <w:left w:val="single" w:sz="4" w:space="4" w:color="000000"/>
          <w:bottom w:val="single" w:sz="4" w:space="1" w:color="000000"/>
          <w:right w:val="single" w:sz="4" w:space="4" w:color="000000"/>
        </w:pBdr>
        <w:shd w:val="clear" w:color="auto" w:fill="001D61" w:themeFill="accent1"/>
        <w:jc w:val="both"/>
        <w:rPr>
          <w:rFonts w:ascii="Poppins" w:hAnsi="Poppins"/>
          <w:b/>
          <w:sz w:val="18"/>
          <w:szCs w:val="18"/>
        </w:rPr>
      </w:pPr>
    </w:p>
    <w:p w14:paraId="33C2AA5B" w14:textId="08A4F677" w:rsidR="00005C25" w:rsidRDefault="005D3F21" w:rsidP="00DD5C48">
      <w:pPr>
        <w:pBdr>
          <w:top w:val="single" w:sz="4" w:space="1" w:color="000000"/>
          <w:left w:val="single" w:sz="4" w:space="4" w:color="000000"/>
          <w:bottom w:val="single" w:sz="4" w:space="1" w:color="000000"/>
          <w:right w:val="single" w:sz="4" w:space="4" w:color="000000"/>
        </w:pBdr>
        <w:shd w:val="clear" w:color="auto" w:fill="001D61" w:themeFill="accent1"/>
        <w:jc w:val="both"/>
        <w:rPr>
          <w:rFonts w:ascii="Poppins" w:hAnsi="Poppins"/>
          <w:sz w:val="18"/>
          <w:szCs w:val="18"/>
        </w:rPr>
      </w:pPr>
      <w:r w:rsidRPr="005D3F21">
        <w:rPr>
          <w:rFonts w:ascii="Poppins" w:hAnsi="Poppins"/>
          <w:sz w:val="18"/>
          <w:szCs w:val="18"/>
          <w:lang w:val="fr-FR"/>
        </w:rPr>
        <w:t>Les armes légères sont conçues pour un usage personnel et comprennent les revolvers et les pistolets à chargement automatique, les fusils et les carabines, les mitraillettes, les fusils d'assaut et les mitrailleuses légères</w:t>
      </w:r>
      <w:r>
        <w:rPr>
          <w:rFonts w:ascii="Poppins" w:hAnsi="Poppins"/>
          <w:sz w:val="18"/>
          <w:szCs w:val="18"/>
          <w:lang w:val="fr-FR"/>
        </w:rPr>
        <w:t>.</w:t>
      </w:r>
    </w:p>
    <w:p w14:paraId="7E3440B5" w14:textId="77777777" w:rsidR="00F63181" w:rsidRPr="00C41F00" w:rsidRDefault="00F63181" w:rsidP="00DD5C48">
      <w:pPr>
        <w:pBdr>
          <w:top w:val="single" w:sz="4" w:space="1" w:color="000000"/>
          <w:left w:val="single" w:sz="4" w:space="4" w:color="000000"/>
          <w:bottom w:val="single" w:sz="4" w:space="1" w:color="000000"/>
          <w:right w:val="single" w:sz="4" w:space="4" w:color="000000"/>
        </w:pBdr>
        <w:shd w:val="clear" w:color="auto" w:fill="001D61" w:themeFill="accent1"/>
        <w:jc w:val="both"/>
        <w:rPr>
          <w:rFonts w:ascii="Poppins" w:hAnsi="Poppins"/>
          <w:sz w:val="18"/>
          <w:szCs w:val="18"/>
        </w:rPr>
      </w:pPr>
    </w:p>
    <w:p w14:paraId="39AEC35A" w14:textId="75EC5D5E" w:rsidR="00CE39FF" w:rsidRDefault="005D3F21" w:rsidP="00DD5C48">
      <w:pPr>
        <w:pBdr>
          <w:top w:val="single" w:sz="4" w:space="1" w:color="000000"/>
          <w:left w:val="single" w:sz="4" w:space="4" w:color="000000"/>
          <w:bottom w:val="single" w:sz="4" w:space="1" w:color="000000"/>
          <w:right w:val="single" w:sz="4" w:space="4" w:color="000000"/>
        </w:pBdr>
        <w:shd w:val="clear" w:color="auto" w:fill="001D61" w:themeFill="accent1"/>
        <w:jc w:val="both"/>
        <w:rPr>
          <w:rFonts w:ascii="Poppins" w:hAnsi="Poppins"/>
          <w:sz w:val="18"/>
          <w:szCs w:val="18"/>
          <w:vertAlign w:val="superscript"/>
        </w:rPr>
      </w:pPr>
      <w:r w:rsidRPr="005D3F21">
        <w:rPr>
          <w:rFonts w:ascii="Poppins" w:hAnsi="Poppins"/>
          <w:b/>
          <w:bCs/>
          <w:sz w:val="18"/>
          <w:szCs w:val="18"/>
          <w:lang w:val="fr-FR"/>
        </w:rPr>
        <w:t>Les armes légères</w:t>
      </w:r>
      <w:r w:rsidRPr="005D3F21">
        <w:rPr>
          <w:rFonts w:ascii="Poppins" w:hAnsi="Poppins"/>
          <w:sz w:val="18"/>
          <w:szCs w:val="18"/>
          <w:lang w:val="fr-FR"/>
        </w:rPr>
        <w:t xml:space="preserve"> sont conçues pour être utilisées par deux ou trois personnes faisant partie de la même équipe. Cette catégorie comprend les mitrailleuses lourdes ; lance-grenades ; canons antiaériens et antichars portables ; fusils sans recul ; lanceurs portables de missiles antichars, de systèmes de roquettes et de systèmes de missiles antiaériens ; mortiers de calibres inférieurs à 100 mm ; munitions, obus et missiles pour tout ce qui précède ; grenades ; mines terrestres ; et des explosifs</w:t>
      </w:r>
      <w:r>
        <w:rPr>
          <w:rFonts w:ascii="Poppins" w:hAnsi="Poppins"/>
          <w:sz w:val="18"/>
          <w:szCs w:val="18"/>
          <w:lang w:val="fr-FR"/>
        </w:rPr>
        <w:t>.</w:t>
      </w:r>
    </w:p>
    <w:p w14:paraId="4E0E292B" w14:textId="00893781" w:rsidR="00005C25" w:rsidRPr="00A2134C" w:rsidRDefault="00CE39FF" w:rsidP="00DD5C48">
      <w:pPr>
        <w:pBdr>
          <w:top w:val="single" w:sz="4" w:space="1" w:color="000000"/>
          <w:left w:val="single" w:sz="4" w:space="4" w:color="000000"/>
          <w:bottom w:val="single" w:sz="4" w:space="1" w:color="000000"/>
          <w:right w:val="single" w:sz="4" w:space="4" w:color="000000"/>
        </w:pBdr>
        <w:shd w:val="clear" w:color="auto" w:fill="001D61" w:themeFill="accent1"/>
        <w:jc w:val="both"/>
        <w:rPr>
          <w:rFonts w:ascii="Poppins" w:hAnsi="Poppins"/>
          <w:sz w:val="18"/>
          <w:szCs w:val="18"/>
        </w:rPr>
      </w:pPr>
      <w:r w:rsidRPr="00A2134C">
        <w:rPr>
          <w:rFonts w:ascii="Poppins" w:hAnsi="Poppins"/>
          <w:sz w:val="18"/>
          <w:szCs w:val="18"/>
        </w:rPr>
        <w:t xml:space="preserve"> </w:t>
      </w:r>
    </w:p>
    <w:p w14:paraId="1D577A45" w14:textId="77777777" w:rsidR="00195E68" w:rsidRPr="00120482" w:rsidRDefault="00195E68" w:rsidP="003477C8">
      <w:pPr>
        <w:ind w:right="104"/>
        <w:jc w:val="both"/>
        <w:rPr>
          <w:rFonts w:ascii="Poppins" w:hAnsi="Poppins" w:cs="Poppins"/>
          <w:bCs/>
          <w:iCs/>
          <w:color w:val="F4333E" w:themeColor="accent2"/>
          <w:sz w:val="18"/>
          <w:szCs w:val="18"/>
        </w:rPr>
      </w:pPr>
    </w:p>
    <w:p w14:paraId="4C9A86BE" w14:textId="0A82BC48" w:rsidR="00BD39C4" w:rsidRPr="00A2134C" w:rsidRDefault="005D3F21" w:rsidP="00BD39C4">
      <w:pPr>
        <w:jc w:val="both"/>
        <w:rPr>
          <w:rFonts w:ascii="Poppins" w:hAnsi="Poppins"/>
          <w:sz w:val="18"/>
          <w:szCs w:val="18"/>
        </w:rPr>
      </w:pPr>
      <w:r w:rsidRPr="005D3F21">
        <w:rPr>
          <w:rFonts w:ascii="Poppins" w:hAnsi="Poppins"/>
          <w:b/>
          <w:bCs/>
          <w:i/>
          <w:iCs/>
          <w:color w:val="F4333E" w:themeColor="accent2"/>
          <w:sz w:val="18"/>
          <w:szCs w:val="18"/>
          <w:lang w:val="fr-FR"/>
        </w:rPr>
        <w:t>L’accès facile des armes encourage la violence -</w:t>
      </w:r>
      <w:r w:rsidRPr="005D3F21">
        <w:rPr>
          <w:rFonts w:ascii="Poppins" w:hAnsi="Poppins"/>
          <w:b/>
          <w:bCs/>
          <w:color w:val="F4333E" w:themeColor="accent2"/>
          <w:sz w:val="18"/>
          <w:szCs w:val="18"/>
          <w:lang w:val="fr-FR"/>
        </w:rPr>
        <w:t xml:space="preserve"> </w:t>
      </w:r>
      <w:r w:rsidRPr="005D3F21">
        <w:rPr>
          <w:rFonts w:ascii="Poppins" w:hAnsi="Poppins"/>
          <w:sz w:val="18"/>
          <w:szCs w:val="18"/>
          <w:lang w:val="fr-FR"/>
        </w:rPr>
        <w:t xml:space="preserve">L'accès facile aux armes à feu est l'une des principales causes de la violence armée. La prolifération des ALPC entraîne une augmentation des pertes de vies humaines ou d'autres dommages qui changent la vie, et crée un climat de peur : des groupes et des individus peu sûrs s'arment pour se protéger, et leurs actions sont perçues comme une menace par les autres, qui réagissent en s'armant eux-mêmes, et ainsi une demande pour encore plus d'armes est créée. L'un des effets de la pandémie de COVID-19 a été l'augmentation de la demande d'armes à feu. Aux États-Unis, par exemple, depuis 2020, il y a eu une augmentation des ventes d'armes à feu liée à la pandémie. Selon le système </w:t>
      </w:r>
      <w:r w:rsidRPr="005D3F21">
        <w:rPr>
          <w:rFonts w:ascii="Poppins" w:hAnsi="Poppins"/>
          <w:sz w:val="18"/>
          <w:szCs w:val="18"/>
          <w:lang w:val="fr-FR"/>
        </w:rPr>
        <w:lastRenderedPageBreak/>
        <w:t>national de vérification instantanée des antécédents criminels, il y a eu une augmentation de 60 % du nombre de vérifications des antécédents effectuées pour l'achat d'armes à feu en 2020. On estime également que 40 % de ces ventes ont été faites à des primo-</w:t>
      </w:r>
      <w:proofErr w:type="spellStart"/>
      <w:r w:rsidRPr="005D3F21">
        <w:rPr>
          <w:rFonts w:ascii="Poppins" w:hAnsi="Poppins"/>
          <w:sz w:val="18"/>
          <w:szCs w:val="18"/>
          <w:lang w:val="fr-FR"/>
        </w:rPr>
        <w:t>accédants</w:t>
      </w:r>
      <w:proofErr w:type="spellEnd"/>
      <w:r w:rsidRPr="005D3F21">
        <w:rPr>
          <w:rFonts w:ascii="Poppins" w:hAnsi="Poppins"/>
          <w:sz w:val="18"/>
          <w:szCs w:val="18"/>
          <w:lang w:val="fr-FR"/>
        </w:rPr>
        <w:t>, dont de nombreuses femmes, ce qui a entraîné plus de huit millions de nouveaux propriétaires d'armes à feu aux États-Unis.</w:t>
      </w:r>
      <w:r w:rsidRPr="005D3F21">
        <w:rPr>
          <w:rFonts w:ascii="Poppins" w:hAnsi="Poppins"/>
          <w:sz w:val="18"/>
          <w:szCs w:val="18"/>
          <w:vertAlign w:val="superscript"/>
          <w:lang w:val="fr-FR"/>
        </w:rPr>
        <w:footnoteReference w:id="3"/>
      </w:r>
      <w:r w:rsidRPr="005D3F21">
        <w:rPr>
          <w:rFonts w:ascii="Poppins" w:hAnsi="Poppins"/>
          <w:sz w:val="18"/>
          <w:szCs w:val="18"/>
          <w:lang w:val="fr-FR"/>
        </w:rPr>
        <w:t xml:space="preserve"> Alors que la peur du crime est la motivation la plus citée par les acheteurs d'armes à feu, en 2020, les acheteurs étaient également préoccupés par les verrouillages et les quarantaines liés au COVID, ainsi que par une série d'autres raisons.</w:t>
      </w:r>
      <w:r w:rsidRPr="005D3F21">
        <w:rPr>
          <w:rFonts w:ascii="Poppins" w:hAnsi="Poppins"/>
          <w:sz w:val="18"/>
          <w:szCs w:val="18"/>
          <w:vertAlign w:val="superscript"/>
          <w:lang w:val="fr-FR"/>
        </w:rPr>
        <w:footnoteReference w:id="4"/>
      </w:r>
      <w:r w:rsidRPr="005D3F21">
        <w:rPr>
          <w:rFonts w:ascii="Poppins" w:hAnsi="Poppins"/>
          <w:sz w:val="18"/>
          <w:szCs w:val="18"/>
          <w:lang w:val="fr-FR"/>
        </w:rPr>
        <w:t xml:space="preserve"> En 2020, les décès causés par les armes à feu ont également augmenté dans plusieurs villes.</w:t>
      </w:r>
      <w:r w:rsidRPr="005D3F21">
        <w:rPr>
          <w:rFonts w:ascii="Poppins" w:hAnsi="Poppins"/>
          <w:sz w:val="18"/>
          <w:szCs w:val="18"/>
          <w:vertAlign w:val="superscript"/>
          <w:lang w:val="fr-FR"/>
        </w:rPr>
        <w:footnoteReference w:id="5"/>
      </w:r>
      <w:r w:rsidRPr="005D3F21">
        <w:rPr>
          <w:rFonts w:ascii="Poppins" w:hAnsi="Poppins"/>
          <w:sz w:val="18"/>
          <w:szCs w:val="18"/>
          <w:lang w:val="fr-FR"/>
        </w:rPr>
        <w:t xml:space="preserve"> Là où les armes sont plus disponibles, il y a plus d'homicides.</w:t>
      </w:r>
      <w:r w:rsidRPr="005D3F21">
        <w:rPr>
          <w:rFonts w:ascii="Poppins" w:hAnsi="Poppins"/>
          <w:sz w:val="18"/>
          <w:szCs w:val="18"/>
          <w:vertAlign w:val="superscript"/>
          <w:lang w:val="fr-FR"/>
        </w:rPr>
        <w:footnoteReference w:id="6"/>
      </w:r>
    </w:p>
    <w:p w14:paraId="2F45BC2A" w14:textId="77777777" w:rsidR="005D3F21" w:rsidRDefault="005D3F21" w:rsidP="00BD39C4">
      <w:pPr>
        <w:jc w:val="both"/>
        <w:rPr>
          <w:rFonts w:ascii="Poppins" w:hAnsi="Poppins"/>
          <w:sz w:val="18"/>
          <w:szCs w:val="18"/>
        </w:rPr>
      </w:pPr>
    </w:p>
    <w:p w14:paraId="21507033" w14:textId="62F7C5B0" w:rsidR="005D3F21" w:rsidRPr="00A2134C" w:rsidRDefault="005D3F21" w:rsidP="00BD39C4">
      <w:pPr>
        <w:jc w:val="both"/>
        <w:rPr>
          <w:rFonts w:ascii="Poppins" w:hAnsi="Poppins"/>
          <w:sz w:val="18"/>
          <w:szCs w:val="18"/>
        </w:rPr>
      </w:pPr>
      <w:r w:rsidRPr="005D3F21">
        <w:rPr>
          <w:rFonts w:ascii="Poppins" w:hAnsi="Poppins"/>
          <w:b/>
          <w:bCs/>
          <w:i/>
          <w:iCs/>
          <w:color w:val="F4333E" w:themeColor="accent2"/>
          <w:sz w:val="18"/>
          <w:szCs w:val="18"/>
          <w:lang w:val="fr-FR"/>
        </w:rPr>
        <w:t>Dans les situations de conflit et de non-conflit, la présence et la disponibilité des armes intensifient souvent la violence</w:t>
      </w:r>
      <w:r>
        <w:rPr>
          <w:rFonts w:ascii="Poppins" w:hAnsi="Poppins"/>
          <w:b/>
          <w:bCs/>
          <w:i/>
          <w:iCs/>
          <w:color w:val="F4333E" w:themeColor="accent2"/>
          <w:sz w:val="18"/>
          <w:szCs w:val="18"/>
          <w:lang w:val="fr-FR"/>
        </w:rPr>
        <w:t xml:space="preserve"> </w:t>
      </w:r>
      <w:r w:rsidRPr="005D3F21">
        <w:rPr>
          <w:rFonts w:ascii="Poppins" w:hAnsi="Poppins"/>
          <w:b/>
          <w:bCs/>
          <w:i/>
          <w:iCs/>
          <w:color w:val="F4333E" w:themeColor="accent2"/>
          <w:sz w:val="18"/>
          <w:szCs w:val="18"/>
          <w:lang w:val="fr-FR"/>
        </w:rPr>
        <w:t>-</w:t>
      </w:r>
      <w:r w:rsidRPr="005D3F21">
        <w:rPr>
          <w:rFonts w:ascii="Poppins" w:hAnsi="Poppins"/>
          <w:b/>
          <w:bCs/>
          <w:color w:val="F4333E" w:themeColor="accent2"/>
          <w:sz w:val="18"/>
          <w:szCs w:val="18"/>
          <w:lang w:val="fr-FR"/>
        </w:rPr>
        <w:t xml:space="preserve"> </w:t>
      </w:r>
      <w:r w:rsidRPr="005D3F21">
        <w:rPr>
          <w:rFonts w:ascii="Poppins" w:hAnsi="Poppins"/>
          <w:sz w:val="18"/>
          <w:szCs w:val="18"/>
          <w:lang w:val="fr-FR"/>
        </w:rPr>
        <w:t>Cette violence peut être déclenchée par la répression politique et les protestations, les conflits entre voisins, la criminalité et la violence à la maison. Les ALPC sont extraordinairement mortelles. Il est possible que quelques individus porteurs d'ALPC causent la mort, des blessures et la peur à grande échelle. Tuer est devenu plus facile ; cela peut être fait à plus grande distance, avec un plus grand détachement et moins d'effort.</w:t>
      </w:r>
      <w:r w:rsidRPr="005D3F21">
        <w:rPr>
          <w:rFonts w:ascii="Poppins" w:hAnsi="Poppins"/>
          <w:sz w:val="18"/>
          <w:szCs w:val="18"/>
          <w:vertAlign w:val="superscript"/>
          <w:lang w:val="fr-FR"/>
        </w:rPr>
        <w:footnoteReference w:id="7"/>
      </w:r>
      <w:r w:rsidRPr="005D3F21">
        <w:rPr>
          <w:rFonts w:ascii="Poppins" w:hAnsi="Poppins"/>
          <w:sz w:val="18"/>
          <w:szCs w:val="18"/>
          <w:lang w:val="fr-FR"/>
        </w:rPr>
        <w:t xml:space="preserve"> La présence des ALPC rend également la violence basée sur le genre plus susceptible d'être mortelle. Les menaces avec une arme sont, à leur tour, un facteur de risque de violence mortelle contre les femmes dans les situations de conflit et non conflictuelles.</w:t>
      </w:r>
      <w:r w:rsidRPr="00A2134C">
        <w:rPr>
          <w:rStyle w:val="FootnoteReference"/>
          <w:color w:val="auto"/>
          <w:sz w:val="18"/>
          <w:szCs w:val="18"/>
        </w:rPr>
        <w:footnoteReference w:id="8"/>
      </w:r>
    </w:p>
    <w:p w14:paraId="2EA8BE02" w14:textId="77777777" w:rsidR="00BD39C4" w:rsidRPr="00A2134C" w:rsidRDefault="00BD39C4" w:rsidP="00BD39C4">
      <w:pPr>
        <w:jc w:val="both"/>
        <w:rPr>
          <w:rFonts w:ascii="Poppins" w:hAnsi="Poppins"/>
          <w:sz w:val="18"/>
          <w:szCs w:val="18"/>
        </w:rPr>
      </w:pPr>
    </w:p>
    <w:p w14:paraId="6C365771" w14:textId="7BC58348" w:rsidR="005D3F21" w:rsidRDefault="005D3F21" w:rsidP="005D3F21">
      <w:pPr>
        <w:jc w:val="both"/>
        <w:rPr>
          <w:rFonts w:ascii="Poppins" w:hAnsi="Poppins"/>
          <w:sz w:val="18"/>
          <w:szCs w:val="18"/>
        </w:rPr>
      </w:pPr>
      <w:r w:rsidRPr="005D3F21">
        <w:rPr>
          <w:rFonts w:ascii="Poppins" w:hAnsi="Poppins"/>
          <w:b/>
          <w:bCs/>
          <w:i/>
          <w:iCs/>
          <w:color w:val="F4333E" w:themeColor="accent2"/>
          <w:sz w:val="18"/>
          <w:szCs w:val="18"/>
          <w:lang w:val="fr-FR"/>
        </w:rPr>
        <w:t>Masculinité et armes à feu -</w:t>
      </w:r>
      <w:r w:rsidRPr="005D3F21">
        <w:rPr>
          <w:rFonts w:ascii="Poppins" w:hAnsi="Poppins"/>
          <w:b/>
          <w:bCs/>
          <w:color w:val="F4333E" w:themeColor="accent2"/>
          <w:sz w:val="18"/>
          <w:szCs w:val="18"/>
          <w:lang w:val="fr-FR"/>
        </w:rPr>
        <w:t xml:space="preserve"> </w:t>
      </w:r>
      <w:r w:rsidRPr="005D3F21">
        <w:rPr>
          <w:rFonts w:ascii="Poppins" w:hAnsi="Poppins"/>
          <w:sz w:val="18"/>
          <w:szCs w:val="18"/>
          <w:lang w:val="fr-FR"/>
        </w:rPr>
        <w:t>Les armes à feu sont souvent considérées comme un symbole du pouvoir masculin. Affirmer sa place dans la société et se faire respecter est souvent assimilé à la masculinité, et quand cela ne peut passer par l'éducation ou la réussite économique, le pistolet devient une puissante alternative. De plus, les jeunes garçons peuvent être socialisés dans une culture de glorification de la possession d'une arme. La disponibilité des armes à feu et les notions « toxiques » ou violentes de la masculinité forment une combinaison dangereuse qui aboutit fréquemment à la violence armée, y compris des incidents de violence de masse, de violence politique, de violence à l'égard des femmes et de violence sexuelle à l'égard des femmes.</w:t>
      </w:r>
      <w:r w:rsidRPr="005D3F21">
        <w:rPr>
          <w:rFonts w:ascii="Poppins" w:hAnsi="Poppins"/>
          <w:sz w:val="18"/>
          <w:szCs w:val="18"/>
          <w:vertAlign w:val="superscript"/>
          <w:lang w:val="fr-FR"/>
        </w:rPr>
        <w:footnoteReference w:id="9"/>
      </w:r>
      <w:r w:rsidRPr="005D3F21">
        <w:rPr>
          <w:rFonts w:ascii="Poppins" w:hAnsi="Poppins"/>
          <w:sz w:val="18"/>
          <w:szCs w:val="18"/>
          <w:lang w:val="fr-FR"/>
        </w:rPr>
        <w:t xml:space="preserve"> Les relations liées au genre peuvent également inclure la violence sexuelle masculine perpétrée par des hommes armés à l’encontre d'autres hommes et garçons ainsi que sur des personnes ayant d'autres identités de genre.</w:t>
      </w:r>
      <w:r w:rsidRPr="005D3F21">
        <w:rPr>
          <w:rFonts w:ascii="Poppins" w:hAnsi="Poppins"/>
          <w:sz w:val="18"/>
          <w:szCs w:val="18"/>
          <w:vertAlign w:val="superscript"/>
          <w:lang w:val="fr-FR"/>
        </w:rPr>
        <w:footnoteReference w:id="10"/>
      </w:r>
      <w:r w:rsidRPr="005D3F21">
        <w:rPr>
          <w:rFonts w:ascii="Poppins" w:hAnsi="Poppins"/>
          <w:sz w:val="18"/>
          <w:szCs w:val="18"/>
          <w:lang w:val="fr-FR"/>
        </w:rPr>
        <w:t xml:space="preserve"> La pandémie de COVID-19 a entraîné des taux de chômage plus élevés, un manque d'opportunités d'emploi et la fermeture d'écoles, qui sont cités comme d'importants facteurs contributifs à la violence domestique</w:t>
      </w:r>
      <w:r w:rsidRPr="00A2134C">
        <w:rPr>
          <w:rFonts w:ascii="Poppins" w:hAnsi="Poppins"/>
          <w:sz w:val="18"/>
          <w:szCs w:val="18"/>
        </w:rPr>
        <w:t>.</w:t>
      </w:r>
      <w:r w:rsidRPr="00A2134C">
        <w:rPr>
          <w:rStyle w:val="FootnoteReference"/>
          <w:color w:val="auto"/>
          <w:sz w:val="18"/>
          <w:szCs w:val="18"/>
        </w:rPr>
        <w:footnoteReference w:id="11"/>
      </w:r>
    </w:p>
    <w:p w14:paraId="634A5D76" w14:textId="77777777" w:rsidR="005D3F21" w:rsidRDefault="005D3F21" w:rsidP="005D3F21">
      <w:pPr>
        <w:jc w:val="both"/>
        <w:rPr>
          <w:rFonts w:ascii="Poppins" w:hAnsi="Poppins"/>
          <w:sz w:val="18"/>
          <w:szCs w:val="18"/>
        </w:rPr>
      </w:pPr>
    </w:p>
    <w:p w14:paraId="36F05EE5" w14:textId="77777777" w:rsidR="005D3F21" w:rsidRPr="005D3F21" w:rsidRDefault="005D3F21" w:rsidP="005D3F21">
      <w:pPr>
        <w:jc w:val="both"/>
        <w:rPr>
          <w:rFonts w:ascii="Poppins" w:hAnsi="Poppins"/>
          <w:sz w:val="18"/>
          <w:szCs w:val="18"/>
        </w:rPr>
      </w:pPr>
    </w:p>
    <w:p w14:paraId="721FFBB8" w14:textId="56FE1346" w:rsidR="00120482" w:rsidRPr="005D3F21" w:rsidRDefault="005D3F21" w:rsidP="00120482">
      <w:pPr>
        <w:pBdr>
          <w:bottom w:val="single" w:sz="4" w:space="1" w:color="auto"/>
        </w:pBdr>
        <w:jc w:val="both"/>
        <w:rPr>
          <w:rFonts w:ascii="Poppins" w:hAnsi="Poppins"/>
          <w:b/>
          <w:color w:val="002060"/>
          <w:sz w:val="18"/>
          <w:szCs w:val="18"/>
        </w:rPr>
      </w:pPr>
      <w:r w:rsidRPr="005D3F21">
        <w:rPr>
          <w:rFonts w:ascii="Poppins" w:hAnsi="Poppins" w:cstheme="majorBidi"/>
          <w:b/>
          <w:bCs/>
          <w:color w:val="002060"/>
          <w:sz w:val="18"/>
          <w:szCs w:val="18"/>
          <w:lang w:val="fr-FR"/>
        </w:rPr>
        <w:lastRenderedPageBreak/>
        <w:t>Quelques manières dont les ALPC prolifèrent</w:t>
      </w:r>
    </w:p>
    <w:p w14:paraId="2A4B81D9" w14:textId="77777777" w:rsidR="00BD39C4" w:rsidRPr="00A2134C" w:rsidRDefault="00BD39C4" w:rsidP="003477C8">
      <w:pPr>
        <w:ind w:right="104"/>
        <w:jc w:val="both"/>
        <w:rPr>
          <w:rFonts w:ascii="Poppins" w:hAnsi="Poppins" w:cs="Poppins"/>
          <w:bCs/>
          <w:iCs/>
          <w:sz w:val="18"/>
          <w:szCs w:val="18"/>
        </w:rPr>
      </w:pPr>
    </w:p>
    <w:p w14:paraId="588C39C8" w14:textId="416613C8" w:rsidR="00D134CC" w:rsidRPr="00D134CC" w:rsidRDefault="00D134CC" w:rsidP="00D134CC">
      <w:pPr>
        <w:jc w:val="both"/>
        <w:rPr>
          <w:rFonts w:ascii="Poppins" w:hAnsi="Poppins"/>
          <w:sz w:val="18"/>
          <w:szCs w:val="18"/>
          <w:lang w:val="fr-FR"/>
        </w:rPr>
      </w:pPr>
      <w:r w:rsidRPr="00511611">
        <w:rPr>
          <w:rFonts w:ascii="Poppins" w:hAnsi="Poppins"/>
          <w:b/>
          <w:bCs/>
          <w:i/>
          <w:iCs/>
          <w:color w:val="F4333E" w:themeColor="accent2"/>
          <w:sz w:val="18"/>
          <w:szCs w:val="18"/>
          <w:lang w:val="fr-FR"/>
        </w:rPr>
        <w:t>La production et le commerce mondiaux des ALPC se poursuivent sans relâche et se développent-</w:t>
      </w:r>
      <w:r w:rsidRPr="00511611">
        <w:rPr>
          <w:rFonts w:ascii="Poppins" w:hAnsi="Poppins"/>
          <w:b/>
          <w:bCs/>
          <w:color w:val="F4333E" w:themeColor="accent2"/>
          <w:sz w:val="18"/>
          <w:szCs w:val="18"/>
          <w:lang w:val="fr-FR"/>
        </w:rPr>
        <w:t xml:space="preserve"> </w:t>
      </w:r>
      <w:r w:rsidRPr="00D134CC">
        <w:rPr>
          <w:rFonts w:ascii="Poppins" w:hAnsi="Poppins"/>
          <w:sz w:val="18"/>
          <w:szCs w:val="18"/>
          <w:lang w:val="fr-FR"/>
        </w:rPr>
        <w:t>La production d'armes légères (sans compter les armes de petit calibre) a été en moyenne de 700 000 à 900 000 chaque année au cours des dernières décennies et le nombre d'usines pour cette production est en augmentation.</w:t>
      </w:r>
      <w:r w:rsidRPr="00D134CC">
        <w:rPr>
          <w:rFonts w:ascii="Poppins" w:hAnsi="Poppins"/>
          <w:sz w:val="18"/>
          <w:szCs w:val="18"/>
          <w:vertAlign w:val="superscript"/>
          <w:lang w:val="fr-FR"/>
        </w:rPr>
        <w:footnoteReference w:id="12"/>
      </w:r>
      <w:r w:rsidRPr="00D134CC">
        <w:rPr>
          <w:rFonts w:ascii="Poppins" w:hAnsi="Poppins"/>
          <w:sz w:val="18"/>
          <w:szCs w:val="18"/>
          <w:lang w:val="fr-FR"/>
        </w:rPr>
        <w:t xml:space="preserve"> Plus de 1 000 entreprises d'environ 100 pays produisent des ALPC tandis que 80 pays produisent des munitions pour les ALPC. Plus de 60 pays produisent des systèmes ou des composants d'armes légères, et environ une douzaine de pays produisent des armes légères guidées avancées telles que des systèmes portables de défense aérienne (MANPADS) et des armes guidées antichars. Dans des dizaines de pays, les armes à feu et leurs munitions sont fabriquées en grande partie à la main en quantités relativement faibles, et bien que la technologie soit simple, l'utilisation de tels articles peut encore avoir des effets mortels.</w:t>
      </w:r>
      <w:r w:rsidRPr="00D134CC">
        <w:rPr>
          <w:rFonts w:ascii="Poppins" w:hAnsi="Poppins"/>
          <w:sz w:val="18"/>
          <w:szCs w:val="18"/>
          <w:vertAlign w:val="superscript"/>
          <w:lang w:val="fr-FR"/>
        </w:rPr>
        <w:footnoteReference w:id="13"/>
      </w:r>
    </w:p>
    <w:p w14:paraId="7D9F2DA8" w14:textId="77777777" w:rsidR="00BD39C4" w:rsidRPr="00A2134C" w:rsidRDefault="00BD39C4" w:rsidP="00BD39C4">
      <w:pPr>
        <w:jc w:val="both"/>
        <w:rPr>
          <w:rFonts w:ascii="Poppins" w:hAnsi="Poppins"/>
          <w:sz w:val="18"/>
          <w:szCs w:val="18"/>
        </w:rPr>
      </w:pPr>
    </w:p>
    <w:p w14:paraId="272E7F09" w14:textId="310C9229" w:rsidR="00511611" w:rsidRPr="00511611" w:rsidRDefault="00511611" w:rsidP="00511611">
      <w:pPr>
        <w:jc w:val="both"/>
        <w:rPr>
          <w:rFonts w:ascii="Poppins" w:hAnsi="Poppins"/>
          <w:sz w:val="18"/>
          <w:szCs w:val="18"/>
          <w:lang w:val="fr-FR"/>
        </w:rPr>
      </w:pPr>
      <w:r w:rsidRPr="00511611">
        <w:rPr>
          <w:rFonts w:ascii="Poppins" w:hAnsi="Poppins"/>
          <w:b/>
          <w:bCs/>
          <w:i/>
          <w:iCs/>
          <w:color w:val="F4333E" w:themeColor="accent2"/>
          <w:sz w:val="18"/>
          <w:szCs w:val="18"/>
          <w:lang w:val="fr-FR"/>
        </w:rPr>
        <w:t>Les ALPC sont obtenues illégalement via des marchés mal réglementés et le détournement-</w:t>
      </w:r>
      <w:r w:rsidRPr="00511611">
        <w:rPr>
          <w:rFonts w:ascii="Poppins" w:hAnsi="Poppins"/>
          <w:b/>
          <w:bCs/>
          <w:color w:val="F4333E" w:themeColor="accent2"/>
          <w:sz w:val="18"/>
          <w:szCs w:val="18"/>
          <w:lang w:val="fr-FR"/>
        </w:rPr>
        <w:t xml:space="preserve"> </w:t>
      </w:r>
      <w:r w:rsidRPr="00511611">
        <w:rPr>
          <w:rFonts w:ascii="Poppins" w:hAnsi="Poppins"/>
          <w:sz w:val="18"/>
          <w:szCs w:val="18"/>
          <w:lang w:val="fr-FR"/>
        </w:rPr>
        <w:t>Dans de nombreux pays, les ALPC sont détournées des transferts « autorisés » et des stocks légalement détenus.</w:t>
      </w:r>
      <w:r w:rsidRPr="00511611">
        <w:rPr>
          <w:rFonts w:ascii="Poppins" w:hAnsi="Poppins"/>
          <w:sz w:val="18"/>
          <w:szCs w:val="18"/>
          <w:vertAlign w:val="superscript"/>
          <w:lang w:val="fr-FR"/>
        </w:rPr>
        <w:footnoteReference w:id="14"/>
      </w:r>
      <w:r w:rsidRPr="00511611">
        <w:rPr>
          <w:rFonts w:ascii="Poppins" w:hAnsi="Poppins"/>
          <w:sz w:val="18"/>
          <w:szCs w:val="18"/>
          <w:lang w:val="fr-FR"/>
        </w:rPr>
        <w:t xml:space="preserve"> Les systèmes gouvernementaux sont souvent trop faibles pour limiter et contrôler strictement la production, le commerce, la possession et l'utilisation des ALPC, en raison des lacunes de la législation, des réglementations et des procédures.</w:t>
      </w:r>
      <w:r w:rsidRPr="00511611">
        <w:rPr>
          <w:rFonts w:ascii="Poppins" w:hAnsi="Poppins"/>
          <w:sz w:val="18"/>
          <w:szCs w:val="18"/>
          <w:vertAlign w:val="superscript"/>
          <w:lang w:val="fr-FR"/>
        </w:rPr>
        <w:footnoteReference w:id="15"/>
      </w:r>
      <w:r w:rsidRPr="00511611">
        <w:rPr>
          <w:rFonts w:ascii="Poppins" w:hAnsi="Poppins"/>
          <w:sz w:val="18"/>
          <w:szCs w:val="18"/>
          <w:lang w:val="fr-FR"/>
        </w:rPr>
        <w:t xml:space="preserve"> En outre, le manque d'investissement dans un nombre suffisant de personnel qualifié rend difficile l'application correcte de la loi. La corruption dans les institutions publiques est souvent répandue, même aux plus hauts niveaux, et est alimentée par la volonté des entreprises du commerce des armes de soudoyer les fonctionnaires et de contourner les contrôles. D'autres acteurs impliqués le long de la chaîne de transfert peuvent par la suite détourner les ALPC vers un marché illégal ou vers une utilisation ou un utilisateur non autorisé.</w:t>
      </w:r>
      <w:r w:rsidRPr="00511611">
        <w:rPr>
          <w:rFonts w:ascii="Poppins" w:hAnsi="Poppins"/>
          <w:sz w:val="18"/>
          <w:szCs w:val="18"/>
          <w:vertAlign w:val="superscript"/>
          <w:lang w:val="fr-FR"/>
        </w:rPr>
        <w:footnoteReference w:id="16"/>
      </w:r>
      <w:r w:rsidRPr="00511611">
        <w:rPr>
          <w:rFonts w:ascii="Poppins" w:hAnsi="Poppins"/>
          <w:sz w:val="18"/>
          <w:szCs w:val="18"/>
          <w:lang w:val="fr-FR"/>
        </w:rPr>
        <w:t xml:space="preserve"> Des incidents de détournement et d'utilisation abusive peuvent survenir des décennies après le transfert initial, à tout moment pendant le long cycle de vie des armes.</w:t>
      </w:r>
    </w:p>
    <w:p w14:paraId="5EA77765" w14:textId="3FADE1E8" w:rsidR="00BD39C4" w:rsidRPr="00A2134C" w:rsidRDefault="00BD39C4" w:rsidP="00BD39C4">
      <w:pPr>
        <w:jc w:val="both"/>
        <w:rPr>
          <w:rFonts w:ascii="Poppins" w:hAnsi="Poppins"/>
          <w:sz w:val="18"/>
          <w:szCs w:val="18"/>
        </w:rPr>
      </w:pPr>
    </w:p>
    <w:p w14:paraId="2F5AE7F9" w14:textId="3A8B904A" w:rsidR="00511611" w:rsidRPr="00511611" w:rsidRDefault="00511611" w:rsidP="00511611">
      <w:pPr>
        <w:jc w:val="both"/>
        <w:rPr>
          <w:rFonts w:ascii="Poppins" w:hAnsi="Poppins"/>
          <w:sz w:val="18"/>
          <w:szCs w:val="18"/>
          <w:lang w:val="fr-FR"/>
        </w:rPr>
      </w:pPr>
      <w:r w:rsidRPr="00511611">
        <w:rPr>
          <w:rFonts w:ascii="Poppins" w:hAnsi="Poppins"/>
          <w:b/>
          <w:bCs/>
          <w:i/>
          <w:iCs/>
          <w:color w:val="F4333E" w:themeColor="accent2"/>
          <w:sz w:val="18"/>
          <w:szCs w:val="18"/>
          <w:lang w:val="fr-FR"/>
        </w:rPr>
        <w:t>Les armes à feu, leurs munitions et les pièces et composants des ALPC attirent les contrebandiers et les criminels-</w:t>
      </w:r>
      <w:r w:rsidRPr="00511611">
        <w:rPr>
          <w:rFonts w:ascii="Poppins" w:hAnsi="Poppins"/>
          <w:b/>
          <w:bCs/>
          <w:color w:val="F4333E" w:themeColor="accent2"/>
          <w:sz w:val="18"/>
          <w:szCs w:val="18"/>
          <w:lang w:val="fr-FR"/>
        </w:rPr>
        <w:t xml:space="preserve"> </w:t>
      </w:r>
      <w:r w:rsidRPr="00511611">
        <w:rPr>
          <w:rFonts w:ascii="Poppins" w:hAnsi="Poppins"/>
          <w:sz w:val="18"/>
          <w:szCs w:val="18"/>
          <w:lang w:val="fr-FR"/>
        </w:rPr>
        <w:t>Les ALPC sont relativement faciles à transporter, manipuler, dissimuler et échanger et se prêtent donc à la contrebande et à d'autres actes criminels. Pour ces raisons, les armes légères sont souvent recherchées et déployées par le crime organisé, les groupes armés et les individus. Les armes à feu désactivées qui n'ont pas été rendues inutilisables peuvent également être réactivées et facilement reconverties en armes à feu utilisables.</w:t>
      </w:r>
      <w:r w:rsidRPr="00511611">
        <w:rPr>
          <w:rFonts w:ascii="Poppins" w:hAnsi="Poppins"/>
          <w:sz w:val="18"/>
          <w:szCs w:val="18"/>
          <w:vertAlign w:val="superscript"/>
          <w:lang w:val="fr-FR"/>
        </w:rPr>
        <w:footnoteReference w:id="17"/>
      </w:r>
    </w:p>
    <w:p w14:paraId="5DC83780" w14:textId="407596D7" w:rsidR="00BD39C4" w:rsidRPr="00511611" w:rsidRDefault="00BD39C4" w:rsidP="00BD39C4">
      <w:pPr>
        <w:jc w:val="both"/>
        <w:rPr>
          <w:rFonts w:ascii="Poppins" w:hAnsi="Poppins"/>
          <w:color w:val="F4333E" w:themeColor="accent2"/>
          <w:sz w:val="18"/>
          <w:szCs w:val="18"/>
        </w:rPr>
      </w:pPr>
    </w:p>
    <w:p w14:paraId="2E69C12C" w14:textId="34D3D80F" w:rsidR="00511611" w:rsidRPr="00511611" w:rsidRDefault="00511611" w:rsidP="00511611">
      <w:pPr>
        <w:jc w:val="both"/>
        <w:rPr>
          <w:rFonts w:ascii="Poppins" w:hAnsi="Poppins"/>
          <w:sz w:val="18"/>
          <w:szCs w:val="18"/>
          <w:lang w:val="fr-FR"/>
        </w:rPr>
      </w:pPr>
      <w:r w:rsidRPr="00511611">
        <w:rPr>
          <w:rFonts w:ascii="Poppins" w:hAnsi="Poppins"/>
          <w:b/>
          <w:bCs/>
          <w:i/>
          <w:iCs/>
          <w:color w:val="F4333E" w:themeColor="accent2"/>
          <w:sz w:val="18"/>
          <w:szCs w:val="18"/>
          <w:lang w:val="fr-FR"/>
        </w:rPr>
        <w:t>Les armes légères prolifèrent dans et autour des zones de conflit armé-</w:t>
      </w:r>
      <w:r w:rsidRPr="00511611">
        <w:rPr>
          <w:rFonts w:ascii="Poppins" w:hAnsi="Poppins"/>
          <w:b/>
          <w:bCs/>
          <w:color w:val="F4333E" w:themeColor="accent2"/>
          <w:sz w:val="18"/>
          <w:szCs w:val="18"/>
          <w:lang w:val="fr-FR"/>
        </w:rPr>
        <w:t xml:space="preserve"> </w:t>
      </w:r>
      <w:r w:rsidRPr="00511611">
        <w:rPr>
          <w:rFonts w:ascii="Poppins" w:hAnsi="Poppins"/>
          <w:sz w:val="18"/>
          <w:szCs w:val="18"/>
          <w:lang w:val="fr-FR"/>
        </w:rPr>
        <w:t>Ces armes et autres équipements militaires portables comprennent souvent des objets particulièrement dangereux tels que des MANPADS, des armes dotées d'un équipement de vision nocturne et des explosifs puissants, qui peuvent également être extraits de missiles et d'obus. Ces types de matériaux ont été identifiés par les États comme étant très recherchés par les réseaux terroristes et les groupes armés.</w:t>
      </w:r>
      <w:r w:rsidRPr="00511611">
        <w:rPr>
          <w:rFonts w:ascii="Poppins" w:hAnsi="Poppins"/>
          <w:sz w:val="18"/>
          <w:szCs w:val="18"/>
          <w:vertAlign w:val="superscript"/>
          <w:lang w:val="fr-FR"/>
        </w:rPr>
        <w:footnoteReference w:id="18"/>
      </w:r>
    </w:p>
    <w:p w14:paraId="3680C6D3" w14:textId="6B64AF3A" w:rsidR="00BD39C4" w:rsidRPr="00A2134C" w:rsidRDefault="00BD39C4" w:rsidP="00BD39C4">
      <w:pPr>
        <w:jc w:val="both"/>
        <w:rPr>
          <w:rFonts w:ascii="Poppins" w:hAnsi="Poppins"/>
          <w:sz w:val="18"/>
          <w:szCs w:val="18"/>
        </w:rPr>
      </w:pPr>
    </w:p>
    <w:p w14:paraId="05586273" w14:textId="77777777" w:rsidR="00BD39C4" w:rsidRPr="00120482" w:rsidRDefault="00BD39C4" w:rsidP="00BD39C4">
      <w:pPr>
        <w:jc w:val="both"/>
        <w:rPr>
          <w:rFonts w:ascii="Poppins" w:hAnsi="Poppins"/>
          <w:color w:val="F4333E" w:themeColor="accent2"/>
          <w:sz w:val="18"/>
          <w:szCs w:val="18"/>
        </w:rPr>
      </w:pPr>
    </w:p>
    <w:p w14:paraId="4F505A22" w14:textId="3B1FD893" w:rsidR="006849E0" w:rsidRPr="006849E0" w:rsidRDefault="006849E0" w:rsidP="006849E0">
      <w:pPr>
        <w:jc w:val="both"/>
        <w:rPr>
          <w:rFonts w:ascii="Poppins" w:hAnsi="Poppins"/>
          <w:sz w:val="18"/>
          <w:szCs w:val="18"/>
          <w:lang w:val="fr-FR"/>
        </w:rPr>
      </w:pPr>
      <w:r w:rsidRPr="006849E0">
        <w:rPr>
          <w:rFonts w:ascii="Poppins" w:hAnsi="Poppins"/>
          <w:b/>
          <w:bCs/>
          <w:i/>
          <w:iCs/>
          <w:color w:val="F4333E" w:themeColor="accent2"/>
          <w:sz w:val="18"/>
          <w:szCs w:val="18"/>
          <w:lang w:val="fr-FR"/>
        </w:rPr>
        <w:lastRenderedPageBreak/>
        <w:t>Les ports et autres frontières de nombreux États restent poreux et ouverts au trafic des ALPC-</w:t>
      </w:r>
      <w:r w:rsidRPr="006849E0">
        <w:rPr>
          <w:rFonts w:ascii="Poppins" w:hAnsi="Poppins"/>
          <w:b/>
          <w:bCs/>
          <w:sz w:val="18"/>
          <w:szCs w:val="18"/>
          <w:lang w:val="fr-FR"/>
        </w:rPr>
        <w:t xml:space="preserve"> </w:t>
      </w:r>
      <w:r w:rsidRPr="006849E0">
        <w:rPr>
          <w:rFonts w:ascii="Poppins" w:hAnsi="Poppins"/>
          <w:sz w:val="18"/>
          <w:szCs w:val="18"/>
          <w:lang w:val="fr-FR"/>
        </w:rPr>
        <w:t xml:space="preserve">La présence de régions frontalières vastes, éloignées et/ou inhospitalières, combinée au manque de capacités de l'État (présence limitée des gardes-frontières, de la police, des douanes et de l'immigration) et à la faiblesse des contrôles dans les ports et les aéroports, facilite le mouvement illégal des ALPC entre </w:t>
      </w:r>
      <w:bookmarkStart w:id="0" w:name="_Hlk114818710"/>
      <w:r w:rsidRPr="006849E0">
        <w:rPr>
          <w:rFonts w:ascii="Poppins" w:hAnsi="Poppins"/>
          <w:sz w:val="18"/>
          <w:szCs w:val="18"/>
          <w:lang w:val="fr-FR"/>
        </w:rPr>
        <w:t>É</w:t>
      </w:r>
      <w:bookmarkEnd w:id="0"/>
      <w:r w:rsidRPr="006849E0">
        <w:rPr>
          <w:rFonts w:ascii="Poppins" w:hAnsi="Poppins"/>
          <w:sz w:val="18"/>
          <w:szCs w:val="18"/>
          <w:lang w:val="fr-FR"/>
        </w:rPr>
        <w:t>tats. Le contrôle des frontières, déjà difficile, devient un défi insurmontable lorsqu'il est aggravé par une mauvaise gouvernance. Dans de nombreux pays, à la suite de COVID 19, les ressources ont été détournées du secteur de la sécurité pour faire face à la pandémie. Cela a conduit à la croissance de nouveaux itinéraires et acteurs de trafic.</w:t>
      </w:r>
      <w:r w:rsidRPr="006849E0">
        <w:rPr>
          <w:rFonts w:ascii="Poppins" w:hAnsi="Poppins"/>
          <w:sz w:val="18"/>
          <w:szCs w:val="18"/>
          <w:vertAlign w:val="superscript"/>
          <w:lang w:val="fr-FR"/>
        </w:rPr>
        <w:footnoteReference w:id="19"/>
      </w:r>
    </w:p>
    <w:p w14:paraId="2AC5886E" w14:textId="6D9F773C" w:rsidR="00BD39C4" w:rsidRPr="00A2134C" w:rsidRDefault="00BD39C4" w:rsidP="00BD39C4">
      <w:pPr>
        <w:jc w:val="both"/>
        <w:rPr>
          <w:rFonts w:ascii="Poppins" w:hAnsi="Poppins"/>
          <w:sz w:val="18"/>
          <w:szCs w:val="18"/>
        </w:rPr>
      </w:pPr>
    </w:p>
    <w:p w14:paraId="15DF3A28" w14:textId="28E860BE" w:rsidR="00A2134C" w:rsidRPr="006849E0" w:rsidRDefault="006849E0" w:rsidP="00A2134C">
      <w:pPr>
        <w:pBdr>
          <w:bottom w:val="single" w:sz="4" w:space="1" w:color="auto"/>
        </w:pBdr>
        <w:jc w:val="both"/>
        <w:rPr>
          <w:rFonts w:ascii="Poppins" w:hAnsi="Poppins"/>
          <w:b/>
          <w:bCs/>
          <w:color w:val="002060"/>
          <w:sz w:val="20"/>
          <w:szCs w:val="18"/>
          <w:lang w:val="fr-FR"/>
        </w:rPr>
      </w:pPr>
      <w:r w:rsidRPr="006849E0">
        <w:rPr>
          <w:rFonts w:ascii="Poppins" w:hAnsi="Poppins"/>
          <w:b/>
          <w:bCs/>
          <w:color w:val="002060"/>
          <w:sz w:val="20"/>
          <w:szCs w:val="18"/>
          <w:lang w:val="fr-FR"/>
        </w:rPr>
        <w:t>Certaines façons dont les ALPC sont utilisées à mauvais escient</w:t>
      </w:r>
    </w:p>
    <w:p w14:paraId="4573D046" w14:textId="77777777" w:rsidR="00BD39C4" w:rsidRPr="00120482" w:rsidRDefault="00BD39C4" w:rsidP="003477C8">
      <w:pPr>
        <w:ind w:right="104"/>
        <w:jc w:val="both"/>
        <w:rPr>
          <w:rFonts w:ascii="Poppins" w:hAnsi="Poppins" w:cs="Poppins"/>
          <w:bCs/>
          <w:iCs/>
          <w:color w:val="F4333E" w:themeColor="accent2"/>
          <w:sz w:val="18"/>
          <w:szCs w:val="18"/>
        </w:rPr>
      </w:pPr>
    </w:p>
    <w:p w14:paraId="0AD6896A" w14:textId="2084F29C" w:rsidR="006849E0" w:rsidRPr="006849E0" w:rsidRDefault="006849E0" w:rsidP="006849E0">
      <w:pPr>
        <w:jc w:val="both"/>
        <w:rPr>
          <w:rFonts w:ascii="Poppins" w:hAnsi="Poppins"/>
          <w:sz w:val="18"/>
          <w:szCs w:val="18"/>
          <w:lang w:val="fr-FR"/>
        </w:rPr>
      </w:pPr>
      <w:r w:rsidRPr="006849E0">
        <w:rPr>
          <w:rFonts w:ascii="Poppins" w:hAnsi="Poppins"/>
          <w:b/>
          <w:bCs/>
          <w:i/>
          <w:iCs/>
          <w:color w:val="F4333E" w:themeColor="accent2"/>
          <w:sz w:val="18"/>
          <w:szCs w:val="18"/>
          <w:lang w:val="fr-FR"/>
        </w:rPr>
        <w:t>Pour commettre des pertes de guerre et des violences armées-</w:t>
      </w:r>
      <w:r w:rsidRPr="006849E0">
        <w:rPr>
          <w:rFonts w:ascii="Poppins" w:hAnsi="Poppins"/>
          <w:b/>
          <w:bCs/>
          <w:color w:val="F4333E" w:themeColor="accent2"/>
          <w:sz w:val="18"/>
          <w:szCs w:val="18"/>
          <w:lang w:val="fr-FR"/>
        </w:rPr>
        <w:t xml:space="preserve"> </w:t>
      </w:r>
      <w:r w:rsidRPr="006849E0">
        <w:rPr>
          <w:rFonts w:ascii="Poppins" w:hAnsi="Poppins"/>
          <w:sz w:val="18"/>
          <w:szCs w:val="18"/>
          <w:lang w:val="fr-FR"/>
        </w:rPr>
        <w:t>En 2020, un institut de recherche sur les conflits a signalé 54 « conflits armés étatiques actifs », dont sept guerres dans le monde en 2019, dont 25 en Afrique, 15 en Asie et 10 au Moyen-Orient et en Afrique du Nord.</w:t>
      </w:r>
      <w:r w:rsidRPr="006849E0">
        <w:rPr>
          <w:rFonts w:ascii="Poppins" w:hAnsi="Poppins"/>
          <w:sz w:val="18"/>
          <w:szCs w:val="18"/>
          <w:vertAlign w:val="superscript"/>
          <w:lang w:val="fr-FR"/>
        </w:rPr>
        <w:footnoteReference w:id="20"/>
      </w:r>
      <w:r w:rsidRPr="006849E0">
        <w:rPr>
          <w:rFonts w:ascii="Poppins" w:hAnsi="Poppins"/>
          <w:sz w:val="18"/>
          <w:szCs w:val="18"/>
          <w:lang w:val="fr-FR"/>
        </w:rPr>
        <w:t xml:space="preserve"> 28 des conflits étatiques impliquaient l'État Islamique (EI), Al-Qaïda ou leurs affiliés. En outre, il a signalé 67 "conflits non étatiques" dans le monde en 2019. Au cours de la période 1989-2011, la moyenne annuelle était de 31 conflits non étatiques, contre 70 conflits de ce type en moyenne au cours de la période 2012-2019. Le fardeau humain de loin le plus lourd de la violence armée est causé par les décès et les blessures qui surviennent dans des contextes non conflictuels et non liés à la guerre, tels que le crime organisé et les combats liés aux gangs qui sévissent principalement dans les zones urbaines.</w:t>
      </w:r>
      <w:r w:rsidRPr="006849E0">
        <w:rPr>
          <w:rFonts w:ascii="Poppins" w:hAnsi="Poppins"/>
          <w:sz w:val="18"/>
          <w:szCs w:val="18"/>
          <w:vertAlign w:val="superscript"/>
          <w:lang w:val="fr-FR"/>
        </w:rPr>
        <w:footnoteReference w:id="21"/>
      </w:r>
    </w:p>
    <w:p w14:paraId="5A3BB36B" w14:textId="17944595" w:rsidR="00BD39C4" w:rsidRPr="00A2134C" w:rsidRDefault="00BD39C4" w:rsidP="00BD39C4">
      <w:pPr>
        <w:jc w:val="both"/>
        <w:rPr>
          <w:rFonts w:ascii="Poppins" w:hAnsi="Poppins"/>
          <w:sz w:val="18"/>
          <w:szCs w:val="18"/>
        </w:rPr>
      </w:pPr>
    </w:p>
    <w:p w14:paraId="3971E32F" w14:textId="31352B3F" w:rsidR="00BD39C4" w:rsidRPr="006849E0" w:rsidRDefault="006849E0" w:rsidP="00BD39C4">
      <w:pPr>
        <w:jc w:val="both"/>
        <w:rPr>
          <w:rFonts w:ascii="Poppins" w:hAnsi="Poppins"/>
          <w:sz w:val="18"/>
          <w:szCs w:val="18"/>
          <w:lang w:val="fr-FR"/>
        </w:rPr>
      </w:pPr>
      <w:r w:rsidRPr="006849E0">
        <w:rPr>
          <w:rFonts w:ascii="Poppins" w:hAnsi="Poppins"/>
          <w:b/>
          <w:bCs/>
          <w:i/>
          <w:iCs/>
          <w:color w:val="F4333E" w:themeColor="accent2"/>
          <w:sz w:val="18"/>
          <w:szCs w:val="18"/>
          <w:lang w:val="fr-FR"/>
        </w:rPr>
        <w:t>Pour commettre des crimes contre l'humanité-</w:t>
      </w:r>
      <w:r w:rsidRPr="006849E0">
        <w:rPr>
          <w:rFonts w:ascii="Poppins" w:hAnsi="Poppins"/>
          <w:b/>
          <w:bCs/>
          <w:color w:val="F4333E" w:themeColor="accent2"/>
          <w:sz w:val="18"/>
          <w:szCs w:val="18"/>
          <w:lang w:val="fr-FR"/>
        </w:rPr>
        <w:t xml:space="preserve"> </w:t>
      </w:r>
      <w:r w:rsidRPr="006849E0">
        <w:rPr>
          <w:rFonts w:ascii="Poppins" w:hAnsi="Poppins"/>
          <w:sz w:val="18"/>
          <w:szCs w:val="18"/>
          <w:lang w:val="fr-FR"/>
        </w:rPr>
        <w:t>Les crimes contre l'humanité sont parmi les actes les plus odieux commis en temps de paix ou de guerre, dans le cadre d'une attaque préméditée généralisée ou systématique dirigée contre toute population civile. Les actes impliquent généralement l'utilisation directe ou indirecte des ALPC ou d'autres forces armées et comprennent : le meurtre ; l’extermination; l’asservissement; la déportation ou le transfert forcé de populations ; l’emprisonnement ou autre forme de privation grave de liberté physique ; la torture; le viol, l’esclavage sexuel, la prostitution forcée, la grossesse forcée, la stérilisation forcée ou toute autre forme de violence sexuelle de gravité comparable ; la persécution contre tout groupe identifiable ou collectivement pour des motifs politiques, raciaux, nationaux, ethniques, culturels, religieux, de sexe ou autres qui sont universellement reconnus comme inadmissibles ; la disparition forcée de personnes; le crime d'apartheid; et autres actes inhumains de caractère similaire causant intentionnellement de grandes souffrances ou des atteintes graves à l'intégrité physique ou à la santé mentale ou physique.</w:t>
      </w:r>
      <w:r w:rsidRPr="006849E0">
        <w:rPr>
          <w:rFonts w:ascii="Poppins" w:hAnsi="Poppins"/>
          <w:sz w:val="18"/>
          <w:szCs w:val="18"/>
          <w:vertAlign w:val="superscript"/>
          <w:lang w:val="fr-FR"/>
        </w:rPr>
        <w:footnoteReference w:id="22"/>
      </w:r>
      <w:r w:rsidRPr="006849E0">
        <w:rPr>
          <w:rFonts w:ascii="Poppins" w:hAnsi="Poppins"/>
          <w:sz w:val="18"/>
          <w:szCs w:val="18"/>
          <w:lang w:val="fr-FR"/>
        </w:rPr>
        <w:t xml:space="preserve"> </w:t>
      </w:r>
    </w:p>
    <w:p w14:paraId="6125511F" w14:textId="77777777" w:rsidR="00BD39C4" w:rsidRPr="00A2134C" w:rsidRDefault="00BD39C4" w:rsidP="00BD39C4">
      <w:pPr>
        <w:jc w:val="both"/>
        <w:rPr>
          <w:rFonts w:ascii="Poppins" w:hAnsi="Poppins"/>
          <w:sz w:val="18"/>
          <w:szCs w:val="18"/>
        </w:rPr>
      </w:pPr>
    </w:p>
    <w:p w14:paraId="4EFFE958" w14:textId="0AED0D67" w:rsidR="00BD39C4" w:rsidRPr="006849E0" w:rsidRDefault="006849E0" w:rsidP="00BD39C4">
      <w:pPr>
        <w:jc w:val="both"/>
        <w:rPr>
          <w:rFonts w:ascii="Poppins" w:hAnsi="Poppins"/>
          <w:sz w:val="18"/>
          <w:szCs w:val="18"/>
          <w:lang w:val="fr-FR"/>
        </w:rPr>
      </w:pPr>
      <w:r w:rsidRPr="006849E0">
        <w:rPr>
          <w:rFonts w:ascii="Poppins" w:hAnsi="Poppins"/>
          <w:b/>
          <w:bCs/>
          <w:i/>
          <w:iCs/>
          <w:color w:val="F4333E" w:themeColor="accent2"/>
          <w:sz w:val="18"/>
          <w:szCs w:val="18"/>
          <w:lang w:val="fr-FR"/>
        </w:rPr>
        <w:t>Le terrorisme et la criminalité transnationale organisée-</w:t>
      </w:r>
      <w:r w:rsidRPr="006849E0">
        <w:rPr>
          <w:rFonts w:ascii="Poppins" w:hAnsi="Poppins"/>
          <w:b/>
          <w:bCs/>
          <w:color w:val="F4333E" w:themeColor="accent2"/>
          <w:sz w:val="18"/>
          <w:szCs w:val="18"/>
          <w:lang w:val="fr-FR"/>
        </w:rPr>
        <w:t xml:space="preserve"> </w:t>
      </w:r>
      <w:r w:rsidRPr="006849E0">
        <w:rPr>
          <w:rFonts w:ascii="Poppins" w:hAnsi="Poppins"/>
          <w:sz w:val="18"/>
          <w:szCs w:val="18"/>
          <w:lang w:val="fr-FR"/>
        </w:rPr>
        <w:t>Les États continuent d'exprimer leur inquiétude quant aux liens entre les réseaux terroristes et le crime organisé transnational</w:t>
      </w:r>
      <w:r w:rsidRPr="006849E0">
        <w:rPr>
          <w:rFonts w:ascii="Poppins" w:hAnsi="Poppins"/>
          <w:sz w:val="18"/>
          <w:szCs w:val="18"/>
          <w:vertAlign w:val="superscript"/>
          <w:lang w:val="fr-FR"/>
        </w:rPr>
        <w:footnoteReference w:id="23"/>
      </w:r>
      <w:r w:rsidRPr="006849E0">
        <w:rPr>
          <w:rFonts w:ascii="Poppins" w:hAnsi="Poppins"/>
          <w:sz w:val="18"/>
          <w:szCs w:val="18"/>
          <w:lang w:val="fr-FR"/>
        </w:rPr>
        <w:t>, où la similitude la plus évidente est l'utilisation de la violence et des armes légères. Les terroristes bénéficient de plus en plus directement ou indirectement de la criminalité transnationale organisée, tant sur le plan financier qu'opérationnel, y compris la fourniture des ALPC illicites.</w:t>
      </w:r>
      <w:r w:rsidRPr="006849E0">
        <w:rPr>
          <w:rFonts w:ascii="Poppins" w:hAnsi="Poppins"/>
          <w:sz w:val="18"/>
          <w:szCs w:val="18"/>
          <w:vertAlign w:val="superscript"/>
          <w:lang w:val="fr-FR"/>
        </w:rPr>
        <w:footnoteReference w:id="24"/>
      </w:r>
    </w:p>
    <w:p w14:paraId="68FF8DC0" w14:textId="6B28D1FE" w:rsidR="006849E0" w:rsidRPr="006849E0" w:rsidRDefault="006849E0" w:rsidP="006849E0">
      <w:pPr>
        <w:jc w:val="both"/>
        <w:rPr>
          <w:rFonts w:ascii="Poppins" w:hAnsi="Poppins"/>
          <w:sz w:val="18"/>
          <w:szCs w:val="18"/>
          <w:lang w:val="fr-FR"/>
        </w:rPr>
      </w:pPr>
      <w:r w:rsidRPr="006849E0">
        <w:rPr>
          <w:rFonts w:ascii="Poppins" w:hAnsi="Poppins"/>
          <w:b/>
          <w:bCs/>
          <w:i/>
          <w:iCs/>
          <w:color w:val="F4333E" w:themeColor="accent2"/>
          <w:sz w:val="18"/>
          <w:szCs w:val="18"/>
          <w:lang w:val="fr-FR"/>
        </w:rPr>
        <w:lastRenderedPageBreak/>
        <w:t>Pour une utilisation dans une force armée excessive et illégale</w:t>
      </w:r>
      <w:r w:rsidRPr="006849E0">
        <w:rPr>
          <w:rFonts w:ascii="Poppins" w:hAnsi="Poppins"/>
          <w:b/>
          <w:bCs/>
          <w:i/>
          <w:iCs/>
          <w:sz w:val="18"/>
          <w:szCs w:val="18"/>
          <w:lang w:val="fr-FR"/>
        </w:rPr>
        <w:t>-</w:t>
      </w:r>
      <w:r w:rsidRPr="006849E0">
        <w:rPr>
          <w:rFonts w:ascii="Poppins" w:hAnsi="Poppins"/>
          <w:b/>
          <w:bCs/>
          <w:sz w:val="18"/>
          <w:szCs w:val="18"/>
          <w:lang w:val="fr-FR"/>
        </w:rPr>
        <w:t xml:space="preserve"> </w:t>
      </w:r>
      <w:r w:rsidRPr="006849E0">
        <w:rPr>
          <w:rFonts w:ascii="Poppins" w:hAnsi="Poppins"/>
          <w:sz w:val="18"/>
          <w:szCs w:val="18"/>
          <w:lang w:val="fr-FR"/>
        </w:rPr>
        <w:t>Les forces de l'État (telles que la police et l'armée) en temps de paix utilisent souvent leurs armes autorisées pour une force excessive et illégale, notamment lors de violentes répressions de manifestations et d'homicides illégaux.</w:t>
      </w:r>
      <w:r w:rsidRPr="006849E0">
        <w:rPr>
          <w:rFonts w:ascii="Poppins" w:hAnsi="Poppins"/>
          <w:sz w:val="18"/>
          <w:szCs w:val="18"/>
          <w:vertAlign w:val="superscript"/>
          <w:lang w:val="fr-FR"/>
        </w:rPr>
        <w:footnoteReference w:id="25"/>
      </w:r>
      <w:r w:rsidRPr="006849E0">
        <w:rPr>
          <w:rFonts w:ascii="Poppins" w:hAnsi="Poppins"/>
          <w:sz w:val="18"/>
          <w:szCs w:val="18"/>
          <w:lang w:val="fr-FR"/>
        </w:rPr>
        <w:t xml:space="preserve"> Les agents de la force publique sont investis du pouvoir d'arrestation et de détention. Dans la plupart des États, les agents de police sont équipés d'une arme à feu, mais ils reçoivent souvent une formation limitée sur le moment où il est légal d'utiliser leurs armes à feu. Dans certains pays, les agents de police reçoivent des salaires qui couvrent à peine leurs besoins de subsistance, tandis que les installations et les logements des commissariats de police sont totalement inadéquats.</w:t>
      </w:r>
      <w:r w:rsidRPr="006849E0">
        <w:rPr>
          <w:rFonts w:ascii="Poppins" w:hAnsi="Poppins"/>
          <w:sz w:val="18"/>
          <w:szCs w:val="18"/>
          <w:vertAlign w:val="superscript"/>
          <w:lang w:val="fr-FR"/>
        </w:rPr>
        <w:footnoteReference w:id="26"/>
      </w:r>
      <w:r w:rsidRPr="006849E0">
        <w:rPr>
          <w:rFonts w:ascii="Poppins" w:hAnsi="Poppins"/>
          <w:sz w:val="18"/>
          <w:szCs w:val="18"/>
          <w:lang w:val="fr-FR"/>
        </w:rPr>
        <w:t xml:space="preserve"> Une réglementation et une gestion médiocre peuvent entraîner des actes d'extorsion armée et de corruption de la part des agents de police, et ceux-ci restent impunis là où les systèmes judiciaires sont faibles.</w:t>
      </w:r>
    </w:p>
    <w:p w14:paraId="4AA7BA0C" w14:textId="60D3D31A" w:rsidR="00BD39C4" w:rsidRPr="00A2134C" w:rsidRDefault="00BD39C4" w:rsidP="00BD39C4">
      <w:pPr>
        <w:jc w:val="both"/>
        <w:rPr>
          <w:rFonts w:ascii="Poppins" w:hAnsi="Poppins"/>
          <w:sz w:val="18"/>
          <w:szCs w:val="18"/>
        </w:rPr>
      </w:pPr>
    </w:p>
    <w:p w14:paraId="4BD6969B" w14:textId="4659F1EB" w:rsidR="006849E0" w:rsidRPr="006849E0" w:rsidRDefault="006849E0" w:rsidP="006849E0">
      <w:pPr>
        <w:jc w:val="both"/>
        <w:rPr>
          <w:rFonts w:ascii="Poppins" w:hAnsi="Poppins" w:cstheme="minorHAnsi"/>
          <w:sz w:val="18"/>
          <w:szCs w:val="18"/>
          <w:lang w:val="fr-FR"/>
        </w:rPr>
      </w:pPr>
      <w:r w:rsidRPr="006849E0">
        <w:rPr>
          <w:rFonts w:ascii="Poppins" w:hAnsi="Poppins" w:cstheme="minorHAnsi"/>
          <w:sz w:val="18"/>
          <w:szCs w:val="18"/>
          <w:lang w:val="fr-FR"/>
        </w:rPr>
        <w:t>Pendant la pandémie de COVID-19, un certain nombre de gouvernements ont adopté des attitudes autoritaires avec une augmentation des incidents de brutalité policière.</w:t>
      </w:r>
      <w:r w:rsidRPr="006849E0">
        <w:rPr>
          <w:rFonts w:ascii="Poppins" w:hAnsi="Poppins" w:cstheme="minorHAnsi"/>
          <w:sz w:val="18"/>
          <w:szCs w:val="18"/>
          <w:vertAlign w:val="superscript"/>
          <w:lang w:val="fr-FR"/>
        </w:rPr>
        <w:footnoteReference w:id="27"/>
      </w:r>
      <w:r w:rsidRPr="006849E0">
        <w:rPr>
          <w:rFonts w:ascii="Poppins" w:hAnsi="Poppins" w:cstheme="minorHAnsi"/>
          <w:sz w:val="18"/>
          <w:szCs w:val="18"/>
          <w:lang w:val="fr-FR"/>
        </w:rPr>
        <w:t xml:space="preserve"> Les forces de police ont fait usage d'une force excessive et inutile dans l'application des confinements et des couvre-feux liés à la COVID-19. « Amnesty International » a fait un état des forces de sécurité utilisant des munitions et des gaz lacrymogènes pour réprimer les manifestations liées au COVID-19 dans plusieurs prisons en Iran, qui ont entraîné la mort d'environ 35 prisonniers et en blessant des centaines d'autres, et la police du Salvador a détenu, battu et abattu un jeune homme dans les jambes pour avoir prétendument enfreint la quarantaine nationale en allant acheter de la nourriture et du carburant. Au Kenya, la police a tué au moins sept personnes et hospitalisé 16 autres personnes à la suite d'opérations visant à faire respecter un couvre-feu.</w:t>
      </w:r>
      <w:r w:rsidRPr="006849E0">
        <w:rPr>
          <w:rFonts w:ascii="Poppins" w:hAnsi="Poppins" w:cstheme="minorHAnsi"/>
          <w:sz w:val="18"/>
          <w:szCs w:val="18"/>
          <w:vertAlign w:val="superscript"/>
          <w:lang w:val="fr-FR"/>
        </w:rPr>
        <w:footnoteReference w:id="28"/>
      </w:r>
    </w:p>
    <w:p w14:paraId="543EAC00" w14:textId="77777777" w:rsidR="00BD39C4" w:rsidRPr="006849E0" w:rsidRDefault="00BD39C4" w:rsidP="00BD39C4">
      <w:pPr>
        <w:jc w:val="both"/>
        <w:rPr>
          <w:rFonts w:ascii="Poppins" w:hAnsi="Poppins" w:cstheme="minorHAnsi"/>
          <w:color w:val="F4333E" w:themeColor="accent2"/>
          <w:sz w:val="18"/>
          <w:szCs w:val="18"/>
          <w:lang w:val="en-CA"/>
        </w:rPr>
      </w:pPr>
    </w:p>
    <w:p w14:paraId="560561F4" w14:textId="7A86BA26" w:rsidR="006849E0" w:rsidRPr="006849E0" w:rsidRDefault="006849E0" w:rsidP="006849E0">
      <w:pPr>
        <w:jc w:val="both"/>
        <w:rPr>
          <w:rFonts w:ascii="Poppins" w:hAnsi="Poppins"/>
          <w:sz w:val="18"/>
          <w:szCs w:val="18"/>
          <w:lang w:val="fr-FR"/>
        </w:rPr>
      </w:pPr>
      <w:r w:rsidRPr="006849E0">
        <w:rPr>
          <w:rFonts w:ascii="Poppins" w:hAnsi="Poppins"/>
          <w:b/>
          <w:bCs/>
          <w:i/>
          <w:iCs/>
          <w:color w:val="F4333E" w:themeColor="accent2"/>
          <w:sz w:val="18"/>
          <w:szCs w:val="18"/>
          <w:lang w:val="fr-FR"/>
        </w:rPr>
        <w:t>La violence contre les enfants-</w:t>
      </w:r>
      <w:r w:rsidRPr="006849E0">
        <w:rPr>
          <w:rFonts w:ascii="Poppins" w:hAnsi="Poppins"/>
          <w:b/>
          <w:bCs/>
          <w:color w:val="F4333E" w:themeColor="accent2"/>
          <w:sz w:val="18"/>
          <w:szCs w:val="18"/>
          <w:lang w:val="fr-FR"/>
        </w:rPr>
        <w:t xml:space="preserve"> </w:t>
      </w:r>
      <w:r w:rsidRPr="006849E0">
        <w:rPr>
          <w:rFonts w:ascii="Poppins" w:hAnsi="Poppins"/>
          <w:sz w:val="18"/>
          <w:szCs w:val="18"/>
          <w:lang w:val="fr-FR"/>
        </w:rPr>
        <w:t>Des millions d'enfants sont exposés à la violence armée et souffrent de traumatismes dont ils ne se remettront peut-être jamais complètement. En plus de la violence domestique, les enfants sont devenus des cibles dans les guerres contre la drogue, dans les meurtres politiques et liés aux gangs, dans les guerres civiles et internationales, et en tant que victimes de la brutalité policière. En vertu du droit international, toute personne âgée de moins de dix-huit ans est classée comme un enfant bénéficiant de droits spéciaux de protection, mais de nombreux États ne protègent pas les enfants. Avec des rapports faisant état d'une augmentation de la violence domestique dans le monde, le risque de violence contre les enfants et d'abus pendant la pandémie de COVID-19 ont également augmenté.</w:t>
      </w:r>
      <w:r w:rsidRPr="006849E0">
        <w:rPr>
          <w:rFonts w:ascii="Poppins" w:hAnsi="Poppins"/>
          <w:sz w:val="18"/>
          <w:szCs w:val="18"/>
          <w:vertAlign w:val="superscript"/>
          <w:lang w:val="fr-FR"/>
        </w:rPr>
        <w:footnoteReference w:id="29"/>
      </w:r>
    </w:p>
    <w:p w14:paraId="162D800C" w14:textId="77777777" w:rsidR="00BD39C4" w:rsidRPr="006849E0" w:rsidRDefault="00BD39C4" w:rsidP="00BD39C4">
      <w:pPr>
        <w:jc w:val="both"/>
        <w:rPr>
          <w:rFonts w:ascii="Poppins" w:hAnsi="Poppins"/>
          <w:color w:val="F4333E" w:themeColor="accent2"/>
          <w:sz w:val="18"/>
          <w:szCs w:val="18"/>
        </w:rPr>
      </w:pPr>
    </w:p>
    <w:p w14:paraId="66F561FE" w14:textId="3637FE23" w:rsidR="006849E0" w:rsidRPr="006849E0" w:rsidRDefault="006849E0" w:rsidP="006849E0">
      <w:pPr>
        <w:jc w:val="both"/>
        <w:rPr>
          <w:rFonts w:ascii="Poppins" w:hAnsi="Poppins"/>
          <w:sz w:val="18"/>
          <w:szCs w:val="18"/>
          <w:lang w:val="fr-FR"/>
        </w:rPr>
      </w:pPr>
      <w:r w:rsidRPr="006849E0">
        <w:rPr>
          <w:rFonts w:ascii="Poppins" w:hAnsi="Poppins"/>
          <w:b/>
          <w:bCs/>
          <w:i/>
          <w:iCs/>
          <w:color w:val="F4333E" w:themeColor="accent2"/>
          <w:sz w:val="18"/>
          <w:szCs w:val="18"/>
          <w:lang w:val="fr-FR"/>
        </w:rPr>
        <w:t>La violence post-conflit-</w:t>
      </w:r>
      <w:r w:rsidRPr="006849E0">
        <w:rPr>
          <w:rFonts w:ascii="Poppins" w:hAnsi="Poppins"/>
          <w:b/>
          <w:bCs/>
          <w:color w:val="F4333E" w:themeColor="accent2"/>
          <w:sz w:val="18"/>
          <w:szCs w:val="18"/>
          <w:lang w:val="fr-FR"/>
        </w:rPr>
        <w:t xml:space="preserve"> </w:t>
      </w:r>
      <w:r w:rsidRPr="006849E0">
        <w:rPr>
          <w:rFonts w:ascii="Poppins" w:hAnsi="Poppins"/>
          <w:sz w:val="18"/>
          <w:szCs w:val="18"/>
          <w:lang w:val="fr-FR"/>
        </w:rPr>
        <w:t>Une étude comparative de 103 pays qui ont connu une forme de guerre civile entre 1945 et 2009 a conclu qu'environ la moitié des pays qui ont négocié des accords de paix retournent à la guerre en une décennie, principalement en raison de manquements fondamentaux au respect des droits humains.</w:t>
      </w:r>
      <w:r w:rsidRPr="006849E0">
        <w:rPr>
          <w:rFonts w:ascii="Poppins" w:hAnsi="Poppins"/>
          <w:sz w:val="18"/>
          <w:szCs w:val="18"/>
          <w:vertAlign w:val="superscript"/>
          <w:lang w:val="fr-FR"/>
        </w:rPr>
        <w:footnoteReference w:id="30"/>
      </w:r>
      <w:r w:rsidRPr="006849E0">
        <w:rPr>
          <w:rFonts w:ascii="Poppins" w:hAnsi="Poppins"/>
          <w:sz w:val="18"/>
          <w:szCs w:val="18"/>
          <w:lang w:val="fr-FR"/>
        </w:rPr>
        <w:t xml:space="preserve"> Trop souvent, les armes excédentaires ne sont pas détruites après la fin d'un conflit armé. Même sans retour à la guerre, la disponibilité facile d'armes excédentaires peut contribuer à la criminalité systémique, à la contrebande et à la violence organisée lorsqu'un accord de paix ne parvient pas à apporter des réformes significatives, en particulier dans le secteur de la sécurité, et lorsque les combattants démobilisés n'ont pas d'autres moyens de subsistance.</w:t>
      </w:r>
    </w:p>
    <w:p w14:paraId="17EEE1A2" w14:textId="2DE4F5BB" w:rsidR="00BD39C4" w:rsidRPr="00A2134C" w:rsidRDefault="00BD39C4" w:rsidP="00BD39C4">
      <w:pPr>
        <w:jc w:val="both"/>
        <w:rPr>
          <w:rFonts w:ascii="Poppins" w:hAnsi="Poppins"/>
          <w:sz w:val="18"/>
          <w:szCs w:val="18"/>
        </w:rPr>
      </w:pPr>
    </w:p>
    <w:p w14:paraId="4252B7DA" w14:textId="77777777" w:rsidR="00BD39C4" w:rsidRPr="00120482" w:rsidRDefault="00BD39C4" w:rsidP="00BD39C4">
      <w:pPr>
        <w:jc w:val="both"/>
        <w:rPr>
          <w:rFonts w:ascii="Poppins" w:hAnsi="Poppins"/>
          <w:color w:val="F4333E" w:themeColor="accent2"/>
          <w:sz w:val="18"/>
          <w:szCs w:val="18"/>
        </w:rPr>
      </w:pPr>
    </w:p>
    <w:p w14:paraId="7A640247" w14:textId="145E6932" w:rsidR="00BD39C4" w:rsidRPr="007B2F23" w:rsidRDefault="007B2F23" w:rsidP="00BD39C4">
      <w:pPr>
        <w:jc w:val="both"/>
        <w:rPr>
          <w:rFonts w:ascii="Poppins" w:hAnsi="Poppins"/>
          <w:sz w:val="18"/>
          <w:szCs w:val="18"/>
          <w:lang w:val="fr-FR"/>
        </w:rPr>
      </w:pPr>
      <w:r w:rsidRPr="007B2F23">
        <w:rPr>
          <w:rFonts w:ascii="Poppins" w:hAnsi="Poppins"/>
          <w:b/>
          <w:bCs/>
          <w:i/>
          <w:iCs/>
          <w:color w:val="F4333E" w:themeColor="accent2"/>
          <w:sz w:val="18"/>
          <w:szCs w:val="18"/>
          <w:lang w:val="fr-FR"/>
        </w:rPr>
        <w:lastRenderedPageBreak/>
        <w:t>Pour entraver le maintien de la paix et l'aide internationale-</w:t>
      </w:r>
      <w:r w:rsidRPr="007B2F23">
        <w:rPr>
          <w:rFonts w:ascii="Poppins" w:hAnsi="Poppins"/>
          <w:b/>
          <w:bCs/>
          <w:color w:val="F4333E" w:themeColor="accent2"/>
          <w:sz w:val="18"/>
          <w:szCs w:val="18"/>
          <w:lang w:val="fr-FR"/>
        </w:rPr>
        <w:t xml:space="preserve"> </w:t>
      </w:r>
      <w:r w:rsidRPr="007B2F23">
        <w:rPr>
          <w:rFonts w:ascii="Poppins" w:hAnsi="Poppins"/>
          <w:sz w:val="18"/>
          <w:szCs w:val="18"/>
          <w:lang w:val="fr-FR"/>
        </w:rPr>
        <w:t>Les attaques contre les soldats de la paix et les travailleurs humanitaires sont perpétrées avec des ALPC dans les zones de conflit, sapant ainsi les efforts de la communauté internationale pour aider les populations vulnérables et rétablir la paix et la sécurité. L'utilisation d'armes légères pour saper les opérations de maintien de la paix peut retarder indéfiniment la conclusion d'une mission de maintien de la paix.</w:t>
      </w:r>
      <w:r w:rsidRPr="007B2F23">
        <w:rPr>
          <w:rFonts w:ascii="Poppins" w:hAnsi="Poppins"/>
          <w:sz w:val="18"/>
          <w:szCs w:val="18"/>
          <w:vertAlign w:val="superscript"/>
          <w:lang w:val="fr-FR"/>
        </w:rPr>
        <w:footnoteReference w:id="31"/>
      </w:r>
      <w:r w:rsidRPr="007B2F23">
        <w:rPr>
          <w:rFonts w:ascii="Poppins" w:hAnsi="Poppins"/>
          <w:sz w:val="18"/>
          <w:szCs w:val="18"/>
          <w:lang w:val="fr-FR"/>
        </w:rPr>
        <w:t xml:space="preserve"> Neuf des mandats des missions de maintien de la paix des Nations Unies en 2020 ont abordé des questions liées aux armes conventionnelles, y compris le contrôle des armes légères et de petit calibre, et ont adopté un certain nombre de procédures de sécurité physique et de gestion des stocks, mais leur efficacité est variable.</w:t>
      </w:r>
      <w:r w:rsidRPr="007B2F23">
        <w:rPr>
          <w:rFonts w:ascii="Poppins" w:hAnsi="Poppins"/>
          <w:sz w:val="18"/>
          <w:szCs w:val="18"/>
          <w:vertAlign w:val="superscript"/>
          <w:lang w:val="fr-FR"/>
        </w:rPr>
        <w:footnoteReference w:id="32"/>
      </w:r>
    </w:p>
    <w:p w14:paraId="69B8670F" w14:textId="77777777" w:rsidR="00BD39C4" w:rsidRPr="007B2F23" w:rsidRDefault="00BD39C4" w:rsidP="00BD39C4">
      <w:pPr>
        <w:jc w:val="both"/>
        <w:rPr>
          <w:rFonts w:ascii="Poppins" w:hAnsi="Poppins"/>
          <w:b/>
          <w:color w:val="F4333E" w:themeColor="accent2"/>
          <w:sz w:val="18"/>
          <w:szCs w:val="18"/>
        </w:rPr>
      </w:pPr>
    </w:p>
    <w:p w14:paraId="04F65332" w14:textId="77777777" w:rsidR="007B2F23" w:rsidRDefault="007B2F23" w:rsidP="007B2F23">
      <w:pPr>
        <w:jc w:val="both"/>
        <w:rPr>
          <w:rFonts w:ascii="Poppins" w:hAnsi="Poppins"/>
          <w:sz w:val="18"/>
          <w:szCs w:val="18"/>
          <w:lang w:val="fr-FR"/>
        </w:rPr>
      </w:pPr>
      <w:r w:rsidRPr="007B2F23">
        <w:rPr>
          <w:rFonts w:ascii="Poppins" w:hAnsi="Poppins"/>
          <w:b/>
          <w:bCs/>
          <w:i/>
          <w:iCs/>
          <w:color w:val="F4333E" w:themeColor="accent2"/>
          <w:sz w:val="18"/>
          <w:szCs w:val="18"/>
          <w:lang w:val="fr-FR"/>
        </w:rPr>
        <w:t>Affaiblir le développement durable-</w:t>
      </w:r>
      <w:r w:rsidRPr="007B2F23">
        <w:rPr>
          <w:rFonts w:ascii="Poppins" w:hAnsi="Poppins"/>
          <w:b/>
          <w:bCs/>
          <w:color w:val="F4333E" w:themeColor="accent2"/>
          <w:sz w:val="18"/>
          <w:szCs w:val="18"/>
          <w:lang w:val="fr-FR"/>
        </w:rPr>
        <w:t xml:space="preserve"> </w:t>
      </w:r>
      <w:r w:rsidRPr="007B2F23">
        <w:rPr>
          <w:rFonts w:ascii="Poppins" w:hAnsi="Poppins"/>
          <w:sz w:val="18"/>
          <w:szCs w:val="18"/>
          <w:lang w:val="fr-FR"/>
        </w:rPr>
        <w:t>Le Programme 2030 pour le développement durable est le cadre international qui reconnaît qu'il ne peut y avoir de développement durable sans paix et pas de paix sans développement durable.</w:t>
      </w:r>
      <w:r w:rsidRPr="007B2F23">
        <w:rPr>
          <w:rFonts w:ascii="Poppins" w:hAnsi="Poppins"/>
          <w:sz w:val="18"/>
          <w:szCs w:val="18"/>
          <w:vertAlign w:val="superscript"/>
          <w:lang w:val="fr-FR"/>
        </w:rPr>
        <w:footnoteReference w:id="33"/>
      </w:r>
      <w:r w:rsidRPr="007B2F23">
        <w:rPr>
          <w:rFonts w:ascii="Poppins" w:hAnsi="Poppins"/>
          <w:sz w:val="18"/>
          <w:szCs w:val="18"/>
          <w:lang w:val="fr-FR"/>
        </w:rPr>
        <w:t xml:space="preserve"> L'une des cibles de l'Objectif de Développement Durable (ODD) 16 (Promouvoir l’avènement de sociétés pacifiques et inclusives aux fins du développement durable, assurer l’accès de tous à la justice et mettre en place, à tous les niveaux, des institutions efficaces, responsables et ouvertes à tous), est de « réduire de manière significative les flux financiers et d'armes illicites, de renforcer le recouvrement et la restitution des avoirs volés et de lutter contre toutes les formes de criminalité organisée » d'ici 2030. Cet objectif comprend un indicateur (16.1.2) qui se concentre sur la mesure des décès dans les situations de conflit armé. Cependant, les cibles des ODD en matière de prévention de la violence armée ne sont pas atteintes. </w:t>
      </w:r>
    </w:p>
    <w:p w14:paraId="20EAA0AC" w14:textId="77777777" w:rsidR="007B2F23" w:rsidRDefault="007B2F23" w:rsidP="007B2F23">
      <w:pPr>
        <w:jc w:val="both"/>
        <w:rPr>
          <w:rFonts w:ascii="Poppins" w:hAnsi="Poppins"/>
          <w:sz w:val="18"/>
          <w:szCs w:val="18"/>
          <w:lang w:val="fr-FR"/>
        </w:rPr>
      </w:pPr>
    </w:p>
    <w:p w14:paraId="6256A1A9" w14:textId="2A0C6CB8" w:rsidR="00BD39C4" w:rsidRPr="007B2F23" w:rsidRDefault="007B2F23" w:rsidP="00BD39C4">
      <w:pPr>
        <w:jc w:val="both"/>
        <w:rPr>
          <w:rFonts w:ascii="Poppins" w:hAnsi="Poppins"/>
          <w:sz w:val="18"/>
          <w:szCs w:val="18"/>
          <w:lang w:val="fr-FR"/>
        </w:rPr>
      </w:pPr>
      <w:r w:rsidRPr="007B2F23">
        <w:rPr>
          <w:rFonts w:ascii="Poppins" w:hAnsi="Poppins"/>
          <w:sz w:val="18"/>
          <w:szCs w:val="18"/>
          <w:lang w:val="fr-FR"/>
        </w:rPr>
        <w:t>Au lieu de cela, la violence armée devrait augmenter d'ici 2030.</w:t>
      </w:r>
      <w:r w:rsidRPr="007B2F23">
        <w:rPr>
          <w:rFonts w:ascii="Poppins" w:hAnsi="Poppins"/>
          <w:sz w:val="18"/>
          <w:szCs w:val="18"/>
          <w:vertAlign w:val="superscript"/>
          <w:lang w:val="fr-FR"/>
        </w:rPr>
        <w:footnoteReference w:id="34"/>
      </w:r>
      <w:r w:rsidRPr="007B2F23">
        <w:rPr>
          <w:rFonts w:ascii="Poppins" w:hAnsi="Poppins"/>
          <w:sz w:val="18"/>
          <w:szCs w:val="18"/>
          <w:lang w:val="fr-FR"/>
        </w:rPr>
        <w:t xml:space="preserve"> Cela est très préoccupant car les ODD sont interdépendants. La violence armée a un impact négatif sur plusieurs aspects du développement, et en tant que tel, l'ODD 16 n'est pas seulement un objectif crucial en soi, mais est également une nécessité si l'Agenda 2030 doit réussir. De nombreuses organisations n'ont pas spécifiquement lié leur travail au contrôle des ALPC, y compris les organisations travaillant sur les droits des femmes, l'égalité des sexes, les droits des enfants et des jeunes, les soins de santé, les services d'éducation, le logement sûr, les ressources en eau, l'électricité, les communications, les transports et la facilitation des marchés pour l'approvisionnement en biens essentiels et l'investissement. Cependant, ces composantes qui, ensemble, permettent un développement durable sont profondément affectées par la prolifération et l'utilisation abusive des armes légères. </w:t>
      </w:r>
    </w:p>
    <w:p w14:paraId="3084A9DC" w14:textId="77777777" w:rsidR="00BD39C4" w:rsidRPr="00A2134C" w:rsidRDefault="00BD39C4" w:rsidP="00BD39C4">
      <w:pPr>
        <w:jc w:val="both"/>
        <w:rPr>
          <w:rFonts w:ascii="Poppins" w:hAnsi="Poppins"/>
          <w:sz w:val="18"/>
          <w:szCs w:val="18"/>
        </w:rPr>
      </w:pPr>
    </w:p>
    <w:p w14:paraId="2525D29F" w14:textId="77777777" w:rsidR="007B2F23" w:rsidRPr="007B2F23" w:rsidRDefault="007B2F23" w:rsidP="007B2F23">
      <w:pPr>
        <w:jc w:val="both"/>
        <w:rPr>
          <w:rFonts w:ascii="Poppins" w:hAnsi="Poppins"/>
          <w:sz w:val="18"/>
          <w:szCs w:val="18"/>
          <w:lang w:val="fr-FR"/>
        </w:rPr>
      </w:pPr>
      <w:r w:rsidRPr="007B2F23">
        <w:rPr>
          <w:rFonts w:ascii="Poppins" w:hAnsi="Poppins"/>
          <w:sz w:val="18"/>
          <w:szCs w:val="18"/>
          <w:lang w:val="fr-FR"/>
        </w:rPr>
        <w:t>La violence liée aux ALPC entraîne la perte de compétences et de capital humain. Les investissements dans l'éducation et la formation des techniciens, des ingénieurs, des professionnels de la santé et du droit, des éducateurs, des gestionnaires et des travailleurs qualifiés sont coûteux. Pourtant, le capital humain que ces professionnels fournissent à l'économie d'un pays peut disparaître avec leur mort ou des blessures graves, ou lorsque les gens fuient à travers les frontières pour échapper à la violence.</w:t>
      </w:r>
    </w:p>
    <w:p w14:paraId="017D38D7" w14:textId="77777777" w:rsidR="00BD39C4" w:rsidRPr="00A2134C" w:rsidRDefault="00BD39C4" w:rsidP="00BD39C4">
      <w:pPr>
        <w:jc w:val="both"/>
        <w:rPr>
          <w:rFonts w:ascii="Poppins" w:hAnsi="Poppins"/>
          <w:sz w:val="18"/>
          <w:szCs w:val="18"/>
        </w:rPr>
      </w:pPr>
    </w:p>
    <w:p w14:paraId="31427076" w14:textId="737DC218" w:rsidR="00163AF1" w:rsidRPr="00163AF1" w:rsidRDefault="00163AF1" w:rsidP="00163AF1">
      <w:pPr>
        <w:jc w:val="both"/>
        <w:rPr>
          <w:rFonts w:ascii="Poppins" w:hAnsi="Poppins"/>
          <w:sz w:val="18"/>
          <w:szCs w:val="18"/>
          <w:lang w:val="fr-FR"/>
        </w:rPr>
      </w:pPr>
      <w:r w:rsidRPr="00163AF1">
        <w:rPr>
          <w:rFonts w:ascii="Poppins" w:hAnsi="Poppins"/>
          <w:sz w:val="18"/>
          <w:szCs w:val="18"/>
          <w:lang w:val="fr-FR"/>
        </w:rPr>
        <w:t>La violence causée par les ALPC entraîne également des dommages et la destruction d'infrastructures clés. Là où les infrastructures sanitaires sont affectées, la mortalité et la morbidité augmentent.</w:t>
      </w:r>
      <w:r w:rsidRPr="00163AF1">
        <w:rPr>
          <w:rFonts w:ascii="Poppins" w:hAnsi="Poppins"/>
          <w:sz w:val="18"/>
          <w:szCs w:val="18"/>
          <w:vertAlign w:val="superscript"/>
          <w:lang w:val="fr-FR"/>
        </w:rPr>
        <w:footnoteReference w:id="35"/>
      </w:r>
      <w:r w:rsidRPr="00163AF1">
        <w:rPr>
          <w:rFonts w:ascii="Poppins" w:hAnsi="Poppins"/>
          <w:sz w:val="18"/>
          <w:szCs w:val="18"/>
          <w:lang w:val="fr-FR"/>
        </w:rPr>
        <w:t xml:space="preserve"> De plus, lorsque les écoles ferment, les opportunités des enfants et des étudiants sont réduites, les disparités entre les sexes </w:t>
      </w:r>
      <w:r w:rsidRPr="00163AF1">
        <w:rPr>
          <w:rFonts w:ascii="Poppins" w:hAnsi="Poppins"/>
          <w:sz w:val="18"/>
          <w:szCs w:val="18"/>
          <w:lang w:val="fr-FR"/>
        </w:rPr>
        <w:lastRenderedPageBreak/>
        <w:t>sont accentuées et le développement socio-économique plus large de la communauté est entravé.</w:t>
      </w:r>
      <w:r w:rsidRPr="00163AF1">
        <w:rPr>
          <w:rFonts w:ascii="Poppins" w:hAnsi="Poppins"/>
          <w:sz w:val="18"/>
          <w:szCs w:val="18"/>
          <w:vertAlign w:val="superscript"/>
          <w:lang w:val="fr-FR"/>
        </w:rPr>
        <w:footnoteReference w:id="36"/>
      </w:r>
      <w:r w:rsidRPr="00163AF1">
        <w:rPr>
          <w:rFonts w:ascii="Poppins" w:hAnsi="Poppins"/>
          <w:sz w:val="18"/>
          <w:szCs w:val="18"/>
          <w:lang w:val="fr-FR"/>
        </w:rPr>
        <w:t xml:space="preserve"> L'interruption des transports et des communications bloque la circulation des biens essentiels tels que la nourriture et les médicaments et perturbe les chaînes d'approvisionnement, parfois avec des effets catastrophiques. Enfin, les blessures causées par les ALPC entraînent de graves conséquences pour la santé physique et mentale des survivants, qui affectent par conséquent les générations futures.</w:t>
      </w:r>
    </w:p>
    <w:p w14:paraId="3BFA502B" w14:textId="77777777" w:rsidR="00BD39C4" w:rsidRPr="00163AF1" w:rsidRDefault="00BD39C4" w:rsidP="00BD39C4">
      <w:pPr>
        <w:jc w:val="both"/>
        <w:rPr>
          <w:rFonts w:ascii="Poppins" w:hAnsi="Poppins"/>
          <w:color w:val="F4333E" w:themeColor="accent2"/>
          <w:sz w:val="18"/>
          <w:szCs w:val="18"/>
        </w:rPr>
      </w:pPr>
    </w:p>
    <w:p w14:paraId="628AABC3" w14:textId="153F910A" w:rsidR="00163AF1" w:rsidRPr="00163AF1" w:rsidRDefault="00163AF1" w:rsidP="00163AF1">
      <w:pPr>
        <w:jc w:val="both"/>
        <w:rPr>
          <w:rFonts w:ascii="Poppins" w:hAnsi="Poppins" w:cstheme="minorHAnsi"/>
          <w:sz w:val="18"/>
          <w:szCs w:val="18"/>
          <w:shd w:val="clear" w:color="auto" w:fill="FFFFFF"/>
          <w:lang w:val="fr-FR"/>
        </w:rPr>
      </w:pPr>
      <w:r w:rsidRPr="00163AF1">
        <w:rPr>
          <w:rFonts w:ascii="Poppins" w:hAnsi="Poppins" w:cstheme="minorHAnsi"/>
          <w:b/>
          <w:bCs/>
          <w:i/>
          <w:iCs/>
          <w:color w:val="F4333E" w:themeColor="accent2"/>
          <w:sz w:val="18"/>
          <w:szCs w:val="18"/>
          <w:shd w:val="clear" w:color="auto" w:fill="FFFFFF"/>
          <w:lang w:val="fr-FR"/>
        </w:rPr>
        <w:t>Rendre mortelle la violence basée sur le genre-</w:t>
      </w:r>
      <w:r w:rsidRPr="00163AF1">
        <w:rPr>
          <w:rFonts w:ascii="Poppins" w:hAnsi="Poppins" w:cstheme="minorHAnsi"/>
          <w:b/>
          <w:bCs/>
          <w:color w:val="F4333E" w:themeColor="accent2"/>
          <w:sz w:val="18"/>
          <w:szCs w:val="18"/>
          <w:shd w:val="clear" w:color="auto" w:fill="FFFFFF"/>
          <w:lang w:val="fr-FR"/>
        </w:rPr>
        <w:t xml:space="preserve"> </w:t>
      </w:r>
      <w:r w:rsidRPr="00163AF1">
        <w:rPr>
          <w:rFonts w:ascii="Poppins" w:hAnsi="Poppins" w:cstheme="minorHAnsi"/>
          <w:sz w:val="18"/>
          <w:szCs w:val="18"/>
          <w:shd w:val="clear" w:color="auto" w:fill="FFFFFF"/>
          <w:lang w:val="fr-FR"/>
        </w:rPr>
        <w:t xml:space="preserve">Les armes légères sont l'un des principaux types d'armes impliquées dans les actes de violence basée sur le genre, en particulier pendant les conflits armés et dans les violences conjugales et les </w:t>
      </w:r>
      <w:proofErr w:type="spellStart"/>
      <w:r w:rsidRPr="00163AF1">
        <w:rPr>
          <w:rFonts w:ascii="Poppins" w:hAnsi="Poppins" w:cstheme="minorHAnsi"/>
          <w:sz w:val="18"/>
          <w:szCs w:val="18"/>
          <w:shd w:val="clear" w:color="auto" w:fill="FFFFFF"/>
          <w:lang w:val="fr-FR"/>
        </w:rPr>
        <w:t>fémicides</w:t>
      </w:r>
      <w:proofErr w:type="spellEnd"/>
      <w:r w:rsidRPr="00163AF1">
        <w:rPr>
          <w:rFonts w:ascii="Poppins" w:hAnsi="Poppins" w:cstheme="minorHAnsi"/>
          <w:sz w:val="18"/>
          <w:szCs w:val="18"/>
          <w:shd w:val="clear" w:color="auto" w:fill="FFFFFF"/>
          <w:lang w:val="fr-FR"/>
        </w:rPr>
        <w:t>. Comme les hommes et les garçons, les femmes et les filles rejoignent parfois volontairement les groupes armés et sont parfois recrutées de force. Les combattantes recrutées de force sont particulièrement vulnérables à la violence basée sur le genre, y compris le viol, le mariage forcé et l'esclavage sexuel. Les femmes et les filles engagées dans un conflit armé peuvent ainsi se trouver en position d'être à la fois auteurs et victimes de violations des droits humains.</w:t>
      </w:r>
      <w:r w:rsidRPr="00163AF1">
        <w:rPr>
          <w:rFonts w:ascii="Poppins" w:hAnsi="Poppins" w:cstheme="minorHAnsi"/>
          <w:sz w:val="18"/>
          <w:szCs w:val="18"/>
          <w:shd w:val="clear" w:color="auto" w:fill="FFFFFF"/>
          <w:vertAlign w:val="superscript"/>
          <w:lang w:val="fr-FR"/>
        </w:rPr>
        <w:footnoteReference w:id="37"/>
      </w:r>
      <w:r w:rsidRPr="00163AF1">
        <w:rPr>
          <w:rFonts w:ascii="Poppins" w:hAnsi="Poppins" w:cstheme="minorHAnsi"/>
          <w:sz w:val="18"/>
          <w:szCs w:val="18"/>
          <w:shd w:val="clear" w:color="auto" w:fill="FFFFFF"/>
          <w:lang w:val="fr-FR"/>
        </w:rPr>
        <w:t xml:space="preserve"> Alors que les hommes sont beaucoup plus susceptibles de commettre et d'être victimes de violence armée, beaucoup plus de femmes que d'hommes sont intimidées, blessées et tuées par des armes à feu dans le contexte de la violence domestique. Au sein du ménage, la présence d'armes à feu, presque toujours entre les mains du « chef de ménage » masculin, représente une menace supplémentaire pour l'égalité des sexes au sein de la famille. Les armes à la maison représentent un rappel constant aux femmes et aux enfants qui a le pouvoir, limitant leur liberté et leur sécurité.</w:t>
      </w:r>
      <w:r w:rsidRPr="00163AF1">
        <w:rPr>
          <w:rFonts w:ascii="Poppins" w:hAnsi="Poppins" w:cstheme="minorHAnsi"/>
          <w:sz w:val="18"/>
          <w:szCs w:val="18"/>
          <w:shd w:val="clear" w:color="auto" w:fill="FFFFFF"/>
          <w:vertAlign w:val="superscript"/>
          <w:lang w:val="fr-FR"/>
        </w:rPr>
        <w:footnoteReference w:id="38"/>
      </w:r>
      <w:r w:rsidRPr="00163AF1">
        <w:rPr>
          <w:rFonts w:ascii="Poppins" w:hAnsi="Poppins" w:cstheme="minorHAnsi"/>
          <w:sz w:val="18"/>
          <w:szCs w:val="18"/>
          <w:shd w:val="clear" w:color="auto" w:fill="FFFFFF"/>
          <w:lang w:val="fr-FR"/>
        </w:rPr>
        <w:t xml:space="preserve"> L'une des conséquences dévastatrices des mesures prises pour lutter contre la pandémie de COVID-19 a été la recrudescence de violence à l'égard des femmes et des filles. En raison des restrictions de confinement dans de nombreux pays du monde, où les femmes sont confinées chez elles avec un partenaire violent, la violence domestique s'est intensifiée au point qu’elle est désignée par l'ONU comme la « pandémie de l'ombre ».</w:t>
      </w:r>
      <w:r w:rsidRPr="00163AF1">
        <w:rPr>
          <w:rFonts w:ascii="Poppins" w:hAnsi="Poppins" w:cstheme="minorHAnsi"/>
          <w:sz w:val="18"/>
          <w:szCs w:val="18"/>
          <w:shd w:val="clear" w:color="auto" w:fill="FFFFFF"/>
          <w:vertAlign w:val="superscript"/>
          <w:lang w:val="fr-FR"/>
        </w:rPr>
        <w:footnoteReference w:id="39"/>
      </w:r>
    </w:p>
    <w:p w14:paraId="24C2F3AB" w14:textId="77777777" w:rsidR="00BD39C4" w:rsidRPr="00A2134C" w:rsidRDefault="00BD39C4" w:rsidP="003477C8">
      <w:pPr>
        <w:ind w:right="104"/>
        <w:jc w:val="both"/>
        <w:rPr>
          <w:rFonts w:ascii="Poppins" w:hAnsi="Poppins" w:cs="Poppins"/>
          <w:bCs/>
          <w:iCs/>
          <w:sz w:val="18"/>
          <w:szCs w:val="18"/>
        </w:rPr>
      </w:pPr>
    </w:p>
    <w:p w14:paraId="0D5A9937" w14:textId="72851F01" w:rsidR="00A2134C" w:rsidRPr="00FE53F9" w:rsidRDefault="00A2134C" w:rsidP="00A2134C">
      <w:pPr>
        <w:pBdr>
          <w:bottom w:val="single" w:sz="4" w:space="1" w:color="auto"/>
        </w:pBdr>
        <w:jc w:val="both"/>
        <w:rPr>
          <w:rFonts w:ascii="Poppins" w:hAnsi="Poppins"/>
          <w:b/>
          <w:bCs/>
          <w:color w:val="002060"/>
          <w:sz w:val="20"/>
          <w:szCs w:val="18"/>
          <w:lang w:val="fr-FR"/>
        </w:rPr>
      </w:pPr>
      <w:r w:rsidRPr="00FE53F9">
        <w:rPr>
          <w:rFonts w:ascii="Poppins" w:hAnsi="Poppins"/>
          <w:b/>
          <w:color w:val="002060"/>
          <w:sz w:val="20"/>
          <w:szCs w:val="18"/>
        </w:rPr>
        <w:t>SALW</w:t>
      </w:r>
      <w:r w:rsidR="00FE53F9" w:rsidRPr="00FE53F9">
        <w:rPr>
          <w:rFonts w:ascii="Poppins" w:hAnsi="Poppins"/>
          <w:b/>
          <w:color w:val="002060"/>
          <w:sz w:val="20"/>
          <w:szCs w:val="18"/>
        </w:rPr>
        <w:t xml:space="preserve"> </w:t>
      </w:r>
      <w:r w:rsidR="00FE53F9" w:rsidRPr="00FE53F9">
        <w:rPr>
          <w:rFonts w:ascii="Poppins" w:hAnsi="Poppins"/>
          <w:b/>
          <w:bCs/>
          <w:color w:val="002060"/>
          <w:sz w:val="20"/>
          <w:szCs w:val="18"/>
          <w:lang w:val="fr-FR"/>
        </w:rPr>
        <w:t>Imposer des limites légales à la possession et à l'utilisation des ALPC</w:t>
      </w:r>
    </w:p>
    <w:p w14:paraId="063DE9D2" w14:textId="77777777" w:rsidR="00195E68" w:rsidRPr="00A2134C" w:rsidRDefault="00195E68" w:rsidP="003477C8">
      <w:pPr>
        <w:ind w:right="104"/>
        <w:jc w:val="both"/>
        <w:rPr>
          <w:rFonts w:ascii="Poppins" w:hAnsi="Poppins" w:cs="Poppins"/>
          <w:bCs/>
          <w:iCs/>
          <w:sz w:val="18"/>
          <w:szCs w:val="18"/>
        </w:rPr>
      </w:pPr>
    </w:p>
    <w:p w14:paraId="7C7836E4" w14:textId="510551BE" w:rsidR="00FE53F9" w:rsidRPr="00FE53F9" w:rsidRDefault="00FE53F9" w:rsidP="00FE53F9">
      <w:pPr>
        <w:jc w:val="both"/>
        <w:rPr>
          <w:rFonts w:ascii="Poppins" w:hAnsi="Poppins"/>
          <w:sz w:val="18"/>
          <w:szCs w:val="18"/>
          <w:lang w:val="fr-FR"/>
        </w:rPr>
      </w:pPr>
      <w:r w:rsidRPr="0078068C">
        <w:rPr>
          <w:rFonts w:ascii="Poppins" w:hAnsi="Poppins"/>
          <w:b/>
          <w:bCs/>
          <w:i/>
          <w:iCs/>
          <w:color w:val="F4333E" w:themeColor="accent2"/>
          <w:sz w:val="18"/>
          <w:szCs w:val="18"/>
          <w:lang w:val="fr-FR"/>
        </w:rPr>
        <w:t>Les ALPC sont généralement acquises légitimement par les</w:t>
      </w:r>
      <w:r w:rsidRPr="0078068C">
        <w:rPr>
          <w:rFonts w:ascii="Poppins" w:hAnsi="Poppins"/>
          <w:b/>
          <w:bCs/>
          <w:color w:val="F4333E" w:themeColor="accent2"/>
          <w:sz w:val="18"/>
          <w:szCs w:val="18"/>
          <w:lang w:val="fr-FR"/>
        </w:rPr>
        <w:t xml:space="preserve"> États</w:t>
      </w:r>
      <w:r w:rsidRPr="0078068C">
        <w:rPr>
          <w:rFonts w:ascii="Poppins" w:hAnsi="Poppins"/>
          <w:color w:val="F4333E" w:themeColor="accent2"/>
          <w:sz w:val="18"/>
          <w:szCs w:val="18"/>
          <w:lang w:val="fr-FR"/>
        </w:rPr>
        <w:t xml:space="preserve"> </w:t>
      </w:r>
      <w:r w:rsidRPr="00FE53F9">
        <w:rPr>
          <w:rFonts w:ascii="Poppins" w:hAnsi="Poppins"/>
          <w:sz w:val="18"/>
          <w:szCs w:val="18"/>
          <w:lang w:val="fr-FR"/>
        </w:rPr>
        <w:t>et utilisées quotidiennement par leurs soldats, policiers et autres forces de sécurité pour mener légalement des opérations de défense nationale et de maintien de l'ordre. À des degrés divers, les États autorisent également l'utilisation d'armes à feu par des particuliers, des entreprises et des groupes, généralement pour la protection personnelle, le sport, la chasse ou pour renforcer le contrôle de la criminalité. De nombreux États conservent la responsabilité exclusive de la protection des civils et ils ont donc des lois qui découragent et interdisent aux civils de porter ou de posséder des armes à feu, en particulier certains types d'armes à feu telles que celles avec des spécifications militaires et des capacités de tir automatique.</w:t>
      </w:r>
      <w:r w:rsidRPr="00FE53F9">
        <w:rPr>
          <w:rFonts w:ascii="Poppins" w:hAnsi="Poppins"/>
          <w:sz w:val="18"/>
          <w:szCs w:val="18"/>
          <w:vertAlign w:val="superscript"/>
          <w:lang w:val="fr-FR"/>
        </w:rPr>
        <w:footnoteReference w:id="40"/>
      </w:r>
      <w:r w:rsidRPr="00FE53F9">
        <w:rPr>
          <w:rFonts w:ascii="Poppins" w:hAnsi="Poppins"/>
          <w:sz w:val="18"/>
          <w:szCs w:val="18"/>
          <w:lang w:val="fr-FR"/>
        </w:rPr>
        <w:t xml:space="preserve"> Les ALPC sont également utilisées dans les opérations internationales de maintien et de consolidation de la paix. Dans chaque pays, les diverses utilisations et le commerce des ALPC sont censés être strictement contrôlés conformément à la législation et aux procédures nationales qui reflètent les obligations des lois internationales et les engagements envers les normes internationales.</w:t>
      </w:r>
    </w:p>
    <w:p w14:paraId="6E3AE81E" w14:textId="1A2B4F0E" w:rsidR="00BD39C4" w:rsidRPr="00A2134C" w:rsidRDefault="00BD39C4" w:rsidP="00BD39C4">
      <w:pPr>
        <w:jc w:val="both"/>
        <w:rPr>
          <w:rFonts w:ascii="Poppins" w:hAnsi="Poppins"/>
          <w:sz w:val="18"/>
          <w:szCs w:val="18"/>
        </w:rPr>
      </w:pPr>
    </w:p>
    <w:p w14:paraId="1148479C" w14:textId="6A4FC14C" w:rsidR="000B3E04" w:rsidRPr="000B3E04" w:rsidRDefault="000B3E04" w:rsidP="000B3E04">
      <w:pPr>
        <w:jc w:val="both"/>
        <w:rPr>
          <w:rFonts w:ascii="Poppins" w:hAnsi="Poppins"/>
          <w:sz w:val="18"/>
          <w:szCs w:val="18"/>
          <w:lang w:val="fr-FR"/>
        </w:rPr>
      </w:pPr>
      <w:r w:rsidRPr="000B3E04">
        <w:rPr>
          <w:rFonts w:ascii="Poppins" w:hAnsi="Poppins"/>
          <w:b/>
          <w:bCs/>
          <w:i/>
          <w:iCs/>
          <w:color w:val="F4333E" w:themeColor="accent2"/>
          <w:sz w:val="18"/>
          <w:szCs w:val="18"/>
          <w:lang w:val="fr-FR"/>
        </w:rPr>
        <w:lastRenderedPageBreak/>
        <w:t>En vertu de la Charte des Nations Unies</w:t>
      </w:r>
      <w:r w:rsidRPr="000B3E04">
        <w:rPr>
          <w:rFonts w:ascii="Poppins" w:hAnsi="Poppins"/>
          <w:i/>
          <w:iCs/>
          <w:color w:val="F4333E" w:themeColor="accent2"/>
          <w:sz w:val="18"/>
          <w:szCs w:val="18"/>
          <w:lang w:val="fr-FR"/>
        </w:rPr>
        <w:t>,</w:t>
      </w:r>
      <w:r w:rsidRPr="000B3E04">
        <w:rPr>
          <w:rFonts w:ascii="Poppins" w:hAnsi="Poppins"/>
          <w:color w:val="F4333E" w:themeColor="accent2"/>
          <w:sz w:val="18"/>
          <w:szCs w:val="18"/>
          <w:lang w:val="fr-FR"/>
        </w:rPr>
        <w:t xml:space="preserve"> </w:t>
      </w:r>
      <w:r w:rsidRPr="000B3E04">
        <w:rPr>
          <w:rFonts w:ascii="Poppins" w:hAnsi="Poppins"/>
          <w:sz w:val="18"/>
          <w:szCs w:val="18"/>
          <w:lang w:val="fr-FR"/>
        </w:rPr>
        <w:t>tous les États ont le droit de recourir à la force armée en cas de légitime défense en cas d'attaque extérieure armée. Cependant, les États ne doivent pas se livrer à des actes d'agression ou à l'usage de la force qui violent l'intégrité territoriale ou l'indépendance politique d'un autre État.</w:t>
      </w:r>
      <w:r w:rsidRPr="000B3E04">
        <w:rPr>
          <w:rFonts w:ascii="Poppins" w:hAnsi="Poppins"/>
          <w:sz w:val="18"/>
          <w:szCs w:val="18"/>
          <w:vertAlign w:val="superscript"/>
          <w:lang w:val="fr-FR"/>
        </w:rPr>
        <w:footnoteReference w:id="41"/>
      </w:r>
      <w:r w:rsidRPr="000B3E04">
        <w:rPr>
          <w:rFonts w:ascii="Poppins" w:hAnsi="Poppins"/>
          <w:sz w:val="18"/>
          <w:szCs w:val="18"/>
          <w:lang w:val="fr-FR"/>
        </w:rPr>
        <w:t xml:space="preserve"> Des interdictions ou des embargos sur les armes par les Nations Unies sur les transferts internationaux d'armes conventionnelles, y compris les ALPC, et d'articles connexes, peuvent être imposés aux États ou aux groupes armés par le Conseil de Sécurité agissant en vertu de l'article 41 du chapitre VII de la charte des Nations Unies</w:t>
      </w:r>
      <w:r w:rsidRPr="000B3E04">
        <w:rPr>
          <w:rFonts w:ascii="Poppins" w:hAnsi="Poppins"/>
          <w:sz w:val="18"/>
          <w:szCs w:val="18"/>
          <w:vertAlign w:val="superscript"/>
          <w:lang w:val="fr-FR"/>
        </w:rPr>
        <w:footnoteReference w:id="42"/>
      </w:r>
      <w:r w:rsidRPr="000B3E04">
        <w:rPr>
          <w:rFonts w:ascii="Poppins" w:hAnsi="Poppins"/>
          <w:sz w:val="18"/>
          <w:szCs w:val="18"/>
          <w:lang w:val="fr-FR"/>
        </w:rPr>
        <w:t xml:space="preserve"> à la suite d'une constatation par le Conseil en vertu de l'article 39 qu'il existe une menace ou une rupture de la paix, ou un acte d'agression, et que par conséquent des mesures doivent être prises pour maintenir ou rétablir la paix et la sécurité internationales.</w:t>
      </w:r>
    </w:p>
    <w:p w14:paraId="282D6075" w14:textId="4E9959A9" w:rsidR="00BD39C4" w:rsidRPr="000B3E04" w:rsidRDefault="00BD39C4" w:rsidP="00BD39C4">
      <w:pPr>
        <w:jc w:val="both"/>
        <w:rPr>
          <w:rFonts w:ascii="Poppins" w:hAnsi="Poppins"/>
          <w:color w:val="F4333E" w:themeColor="accent2"/>
          <w:sz w:val="18"/>
          <w:szCs w:val="18"/>
        </w:rPr>
      </w:pPr>
    </w:p>
    <w:p w14:paraId="1F33898E" w14:textId="1CB68C3F" w:rsidR="00BD39C4" w:rsidRPr="000B3E04" w:rsidRDefault="000B3E04" w:rsidP="00BD39C4">
      <w:pPr>
        <w:jc w:val="both"/>
        <w:rPr>
          <w:rFonts w:ascii="Poppins" w:hAnsi="Poppins"/>
          <w:sz w:val="18"/>
          <w:szCs w:val="18"/>
          <w:lang w:val="fr-FR"/>
        </w:rPr>
      </w:pPr>
      <w:r w:rsidRPr="000B3E04">
        <w:rPr>
          <w:rFonts w:ascii="Poppins" w:hAnsi="Poppins"/>
          <w:b/>
          <w:bCs/>
          <w:i/>
          <w:iCs/>
          <w:color w:val="F4333E" w:themeColor="accent2"/>
          <w:sz w:val="18"/>
          <w:szCs w:val="18"/>
          <w:lang w:val="fr-FR"/>
        </w:rPr>
        <w:t>En vertu du droit des conflits armés,</w:t>
      </w:r>
      <w:r w:rsidRPr="000B3E04">
        <w:rPr>
          <w:rFonts w:ascii="Poppins" w:hAnsi="Poppins"/>
          <w:color w:val="F4333E" w:themeColor="accent2"/>
          <w:sz w:val="18"/>
          <w:szCs w:val="18"/>
          <w:lang w:val="fr-FR"/>
        </w:rPr>
        <w:t xml:space="preserve"> </w:t>
      </w:r>
      <w:r w:rsidRPr="000B3E04">
        <w:rPr>
          <w:rFonts w:ascii="Poppins" w:hAnsi="Poppins"/>
          <w:sz w:val="18"/>
          <w:szCs w:val="18"/>
          <w:lang w:val="fr-FR"/>
        </w:rPr>
        <w:t>les combattants des forces étatiques ainsi que les groupes armés qui sont engagés dans un conflit armé doivent respecter les quatre Conventions de Genève et leurs Protocoles en plus des autres règles et traités coutumiers qui composent le Droit International Humanitaire (DIH). Les États n'ont pas le droit d'utiliser une force armée illimitée ou inutile de quelque nature que ce soit, et les actes de meurtre, de torture, de prise d'otages, de famine délibérée de populations, de recrutement d'enfants soldats et d'autres actes flagrants sont interdits.</w:t>
      </w:r>
      <w:r w:rsidRPr="000B3E04">
        <w:rPr>
          <w:rFonts w:ascii="Poppins" w:hAnsi="Poppins"/>
          <w:sz w:val="18"/>
          <w:szCs w:val="18"/>
          <w:vertAlign w:val="superscript"/>
          <w:lang w:val="fr-FR"/>
        </w:rPr>
        <w:footnoteReference w:id="43"/>
      </w:r>
    </w:p>
    <w:p w14:paraId="1730C4DC" w14:textId="77777777" w:rsidR="00BD39C4" w:rsidRPr="000B3E04" w:rsidRDefault="00BD39C4" w:rsidP="00BD39C4">
      <w:pPr>
        <w:jc w:val="both"/>
        <w:rPr>
          <w:rFonts w:ascii="Poppins" w:hAnsi="Poppins"/>
          <w:b/>
          <w:color w:val="F4333E" w:themeColor="accent2"/>
          <w:sz w:val="18"/>
          <w:szCs w:val="18"/>
        </w:rPr>
      </w:pPr>
    </w:p>
    <w:p w14:paraId="69E8776B" w14:textId="46927096" w:rsidR="000B3E04" w:rsidRPr="000B3E04" w:rsidRDefault="000B3E04" w:rsidP="000B3E04">
      <w:pPr>
        <w:jc w:val="both"/>
        <w:rPr>
          <w:rFonts w:ascii="Poppins" w:hAnsi="Poppins"/>
          <w:sz w:val="18"/>
          <w:szCs w:val="18"/>
          <w:lang w:val="fr-FR"/>
        </w:rPr>
      </w:pPr>
      <w:r w:rsidRPr="000B3E04">
        <w:rPr>
          <w:rFonts w:ascii="Poppins" w:hAnsi="Poppins"/>
          <w:b/>
          <w:bCs/>
          <w:i/>
          <w:iCs/>
          <w:color w:val="F4333E" w:themeColor="accent2"/>
          <w:sz w:val="18"/>
          <w:szCs w:val="18"/>
          <w:lang w:val="fr-FR"/>
        </w:rPr>
        <w:t>En vertu du droit international des droits de l'homme</w:t>
      </w:r>
      <w:r w:rsidRPr="000B3E04">
        <w:rPr>
          <w:rFonts w:ascii="Poppins" w:hAnsi="Poppins"/>
          <w:i/>
          <w:iCs/>
          <w:color w:val="F4333E" w:themeColor="accent2"/>
          <w:sz w:val="18"/>
          <w:szCs w:val="18"/>
          <w:lang w:val="fr-FR"/>
        </w:rPr>
        <w:t>,</w:t>
      </w:r>
      <w:r w:rsidRPr="000B3E04">
        <w:rPr>
          <w:rFonts w:ascii="Poppins" w:hAnsi="Poppins"/>
          <w:color w:val="F4333E" w:themeColor="accent2"/>
          <w:sz w:val="18"/>
          <w:szCs w:val="18"/>
          <w:lang w:val="fr-FR"/>
        </w:rPr>
        <w:t xml:space="preserve"> </w:t>
      </w:r>
      <w:r w:rsidRPr="000B3E04">
        <w:rPr>
          <w:rFonts w:ascii="Poppins" w:hAnsi="Poppins"/>
          <w:sz w:val="18"/>
          <w:szCs w:val="18"/>
          <w:lang w:val="fr-FR"/>
        </w:rPr>
        <w:t>toute personne a le droit de ne pas être arbitrairement privée de la vie et de ne pas être torturée, maltraitée ou victime de disparition forcée. Ces droits fondamentaux et d'autres doivent être respectés dans toutes les situations, que ce soit en temps de guerre ou en temps de paix. Les règles sont inscrites dans plus de 100 traités relatifs aux droits de l'homme et normes de l'ONU. Des normes internationales spécifiques pour la conduite de la police, des soldats et des autres personnels de sécurité criminalisent la force arbitraire par des officiers et limitent l'usage légal de la force uniquement à ce qui est strictement nécessaire et proportionné à l'objectif légitime de protection. Les agents doivent, dans la mesure du possible, appliquer des moyens non violents avant de recourir à l'usage de la force et des armes à feu, et les armes à feu ne doivent pas être utilisées contre des personnes, sauf en cas de légitime défense ou de défense d'autrui contre la menace imminente de mort ou de blessure grave. Les ensembles de règles les plus importants sont les Principes de base des Nations Unies sur le recours à la force et aux armes à feu et le Code de conduite des Nations Unies pour les responsables de l'application des lois, qui traitent également de questions telles que la corruption, le respect des droits humains fondamentaux et la gestion sûre des armes à feu.</w:t>
      </w:r>
      <w:r w:rsidRPr="000B3E04">
        <w:rPr>
          <w:rFonts w:ascii="Poppins" w:hAnsi="Poppins"/>
          <w:sz w:val="18"/>
          <w:szCs w:val="18"/>
          <w:vertAlign w:val="superscript"/>
          <w:lang w:val="fr-FR"/>
        </w:rPr>
        <w:footnoteReference w:id="44"/>
      </w:r>
    </w:p>
    <w:p w14:paraId="3671A271" w14:textId="77777777" w:rsidR="00BD39C4" w:rsidRPr="000B3E04" w:rsidRDefault="00BD39C4" w:rsidP="00BD39C4">
      <w:pPr>
        <w:jc w:val="both"/>
        <w:rPr>
          <w:rFonts w:ascii="Poppins" w:hAnsi="Poppins"/>
          <w:color w:val="F4333E" w:themeColor="accent2"/>
          <w:sz w:val="18"/>
          <w:szCs w:val="18"/>
        </w:rPr>
      </w:pPr>
    </w:p>
    <w:p w14:paraId="60275614" w14:textId="7E914B28" w:rsidR="000B3E04" w:rsidRPr="000B3E04" w:rsidRDefault="000B3E04" w:rsidP="000B3E04">
      <w:pPr>
        <w:jc w:val="both"/>
        <w:rPr>
          <w:rFonts w:ascii="Poppins" w:hAnsi="Poppins"/>
          <w:sz w:val="18"/>
          <w:szCs w:val="18"/>
          <w:lang w:val="fr-FR"/>
        </w:rPr>
      </w:pPr>
      <w:r w:rsidRPr="000B3E04">
        <w:rPr>
          <w:rFonts w:ascii="Poppins" w:hAnsi="Poppins"/>
          <w:b/>
          <w:bCs/>
          <w:i/>
          <w:iCs/>
          <w:color w:val="F4333E" w:themeColor="accent2"/>
          <w:sz w:val="18"/>
          <w:szCs w:val="18"/>
          <w:lang w:val="fr-FR"/>
        </w:rPr>
        <w:t>En vertu du droit pénal international</w:t>
      </w:r>
      <w:r w:rsidRPr="000B3E04">
        <w:rPr>
          <w:rFonts w:ascii="Poppins" w:hAnsi="Poppins"/>
          <w:color w:val="F4333E" w:themeColor="accent2"/>
          <w:sz w:val="18"/>
          <w:szCs w:val="18"/>
          <w:lang w:val="fr-FR"/>
        </w:rPr>
        <w:t xml:space="preserve">, </w:t>
      </w:r>
      <w:r w:rsidRPr="000B3E04">
        <w:rPr>
          <w:rFonts w:ascii="Poppins" w:hAnsi="Poppins"/>
          <w:sz w:val="18"/>
          <w:szCs w:val="18"/>
          <w:lang w:val="fr-FR"/>
        </w:rPr>
        <w:t>le Statut de Rome de la Cour pénale internationale réaffirme les normes du droit international humanitaire coutumier, criminalisant les crimes contre l'humanité, les crimes de guerre, le génocide et le crime d'agression. Les auteurs de tels crimes peuvent être tenus individuellement responsables.</w:t>
      </w:r>
    </w:p>
    <w:p w14:paraId="407188E4" w14:textId="4879006D" w:rsidR="00BD39C4" w:rsidRPr="00A2134C" w:rsidRDefault="00BD39C4" w:rsidP="00BD39C4">
      <w:pPr>
        <w:jc w:val="both"/>
        <w:rPr>
          <w:rFonts w:ascii="Poppins" w:hAnsi="Poppins"/>
          <w:sz w:val="18"/>
          <w:szCs w:val="18"/>
        </w:rPr>
      </w:pPr>
    </w:p>
    <w:p w14:paraId="5E9D6360" w14:textId="77777777" w:rsidR="00BD39C4" w:rsidRPr="00120482" w:rsidRDefault="00BD39C4" w:rsidP="00BD39C4">
      <w:pPr>
        <w:jc w:val="both"/>
        <w:rPr>
          <w:rFonts w:ascii="Poppins" w:hAnsi="Poppins"/>
          <w:b/>
          <w:color w:val="F4333E" w:themeColor="accent2"/>
          <w:sz w:val="18"/>
          <w:szCs w:val="18"/>
        </w:rPr>
      </w:pPr>
    </w:p>
    <w:p w14:paraId="48C4D04C" w14:textId="2F1C8367" w:rsidR="000B3E04" w:rsidRPr="000B3E04" w:rsidRDefault="000B3E04" w:rsidP="000B3E04">
      <w:pPr>
        <w:jc w:val="both"/>
        <w:rPr>
          <w:rFonts w:ascii="Poppins" w:hAnsi="Poppins" w:cstheme="minorHAnsi"/>
          <w:sz w:val="18"/>
          <w:szCs w:val="18"/>
          <w:shd w:val="clear" w:color="auto" w:fill="FFFFFF"/>
          <w:lang w:val="fr-FR"/>
        </w:rPr>
      </w:pPr>
      <w:r w:rsidRPr="000B3E04">
        <w:rPr>
          <w:rFonts w:ascii="Poppins" w:hAnsi="Poppins" w:cstheme="minorHAnsi"/>
          <w:b/>
          <w:bCs/>
          <w:i/>
          <w:iCs/>
          <w:color w:val="F4333E" w:themeColor="accent2"/>
          <w:sz w:val="18"/>
          <w:szCs w:val="18"/>
          <w:shd w:val="clear" w:color="auto" w:fill="FFFFFF"/>
          <w:lang w:val="fr-FR"/>
        </w:rPr>
        <w:lastRenderedPageBreak/>
        <w:t>En vertu du droit pénal transnational</w:t>
      </w:r>
      <w:r w:rsidRPr="000B3E04">
        <w:rPr>
          <w:rFonts w:ascii="Poppins" w:hAnsi="Poppins" w:cstheme="minorHAnsi"/>
          <w:i/>
          <w:iCs/>
          <w:color w:val="F4333E" w:themeColor="accent2"/>
          <w:sz w:val="18"/>
          <w:szCs w:val="18"/>
          <w:shd w:val="clear" w:color="auto" w:fill="FFFFFF"/>
          <w:lang w:val="fr-FR"/>
        </w:rPr>
        <w:t>,</w:t>
      </w:r>
      <w:r w:rsidRPr="000B3E04">
        <w:rPr>
          <w:rFonts w:ascii="Poppins" w:hAnsi="Poppins" w:cstheme="minorHAnsi"/>
          <w:color w:val="F4333E" w:themeColor="accent2"/>
          <w:sz w:val="18"/>
          <w:szCs w:val="18"/>
          <w:shd w:val="clear" w:color="auto" w:fill="FFFFFF"/>
          <w:lang w:val="fr-FR"/>
        </w:rPr>
        <w:t xml:space="preserve"> </w:t>
      </w:r>
      <w:r w:rsidRPr="000B3E04">
        <w:rPr>
          <w:rFonts w:ascii="Poppins" w:hAnsi="Poppins" w:cstheme="minorHAnsi"/>
          <w:sz w:val="18"/>
          <w:szCs w:val="18"/>
          <w:shd w:val="clear" w:color="auto" w:fill="FFFFFF"/>
          <w:lang w:val="fr-FR"/>
        </w:rPr>
        <w:t>le trafic et la fabrication illicites d'armes à feu, de leurs pièces, éléments et munitions doivent être spécifiquement interdits par des sanctions pénales dans les législations pénales nationales. Le Protocole contre la fabrication et le trafic illicites d'armes à feu, de leurs pièces, éléments et munitions (Protocole sur les armes à feu) fournit un cadre permettant aux États de contrôler et réglementer les armes licites et les flux d'armes, d'empêcher leur détournement vers le circuit illégal, de faciliter les enquêtes et la poursuite des infractions connexes sans entraver les transferts légitimes.</w:t>
      </w:r>
    </w:p>
    <w:p w14:paraId="56FA3DD4" w14:textId="77777777" w:rsidR="00BD39C4" w:rsidRPr="000B3E04" w:rsidRDefault="00BD39C4" w:rsidP="00BD39C4">
      <w:pPr>
        <w:jc w:val="both"/>
        <w:rPr>
          <w:rFonts w:ascii="Poppins" w:hAnsi="Poppins" w:cstheme="minorHAnsi"/>
          <w:color w:val="F4333E" w:themeColor="accent2"/>
          <w:sz w:val="18"/>
          <w:szCs w:val="18"/>
          <w:lang w:val="en-CA"/>
        </w:rPr>
      </w:pPr>
    </w:p>
    <w:p w14:paraId="55BAA2FC" w14:textId="6FF7A08A" w:rsidR="000B3E04" w:rsidRPr="000B3E04" w:rsidRDefault="000B3E04" w:rsidP="000B3E04">
      <w:pPr>
        <w:jc w:val="both"/>
        <w:rPr>
          <w:rFonts w:ascii="Poppins" w:hAnsi="Poppins"/>
          <w:sz w:val="18"/>
          <w:szCs w:val="18"/>
          <w:lang w:val="fr-FR"/>
        </w:rPr>
      </w:pPr>
      <w:r w:rsidRPr="000B3E04">
        <w:rPr>
          <w:rFonts w:ascii="Poppins" w:hAnsi="Poppins"/>
          <w:b/>
          <w:bCs/>
          <w:i/>
          <w:iCs/>
          <w:color w:val="F4333E" w:themeColor="accent2"/>
          <w:sz w:val="18"/>
          <w:szCs w:val="18"/>
          <w:lang w:val="fr-FR"/>
        </w:rPr>
        <w:t>En vertu du Traité sur le Commerce des Armes (TCA),</w:t>
      </w:r>
      <w:r w:rsidRPr="000B3E04">
        <w:rPr>
          <w:rFonts w:ascii="Poppins" w:hAnsi="Poppins"/>
          <w:color w:val="F4333E" w:themeColor="accent2"/>
          <w:sz w:val="18"/>
          <w:szCs w:val="18"/>
          <w:lang w:val="fr-FR"/>
        </w:rPr>
        <w:t xml:space="preserve"> </w:t>
      </w:r>
      <w:r w:rsidRPr="000B3E04">
        <w:rPr>
          <w:rFonts w:ascii="Poppins" w:hAnsi="Poppins"/>
          <w:sz w:val="18"/>
          <w:szCs w:val="18"/>
          <w:lang w:val="fr-FR"/>
        </w:rPr>
        <w:t>les États parties sont tenus de réglementer leur commerce international d'armes conventionnelles, y compris les ALPC. Le TCA vise à améliorer l'efficacité des contrôles nationaux des exportations et des transferts d'armes conventionnelles de manière plus concertée, dans le but d'empêcher que les armes et les munitions n'atteignent ceux qui les utilisent pour, entre autres, affaiblir la stabilité, violer les droits de l'homme et les droits humanitaires internationaux, ou les détourner vers le marché illicite ou pour une utilisation finale non autorisée. Le TCA définit les circonstances spécifiques dans lesquelles un transfert d'armes et d'autres articles inclus dans le champ d'application du traité doit être interdit et lorsque leur exportation ne doit pas être autorisée. Il énonce également une série de mesures que les États parties sont tenus ou encouragés à prendre pour empêcher le détournement.</w:t>
      </w:r>
      <w:r w:rsidRPr="000B3E04">
        <w:rPr>
          <w:rFonts w:ascii="Poppins" w:hAnsi="Poppins"/>
          <w:sz w:val="18"/>
          <w:szCs w:val="18"/>
          <w:vertAlign w:val="superscript"/>
          <w:lang w:val="fr-FR"/>
        </w:rPr>
        <w:footnoteReference w:id="45"/>
      </w:r>
      <w:r w:rsidRPr="000B3E04">
        <w:rPr>
          <w:rFonts w:ascii="Poppins" w:hAnsi="Poppins"/>
          <w:sz w:val="18"/>
          <w:szCs w:val="18"/>
          <w:lang w:val="fr-FR"/>
        </w:rPr>
        <w:t xml:space="preserve"> </w:t>
      </w:r>
    </w:p>
    <w:p w14:paraId="282019CC" w14:textId="03AD21C4" w:rsidR="00BD39C4" w:rsidRPr="000B3E04" w:rsidRDefault="00BD39C4" w:rsidP="00BD39C4">
      <w:pPr>
        <w:jc w:val="both"/>
        <w:rPr>
          <w:rFonts w:ascii="Poppins" w:hAnsi="Poppins"/>
          <w:color w:val="F4333E" w:themeColor="accent2"/>
          <w:sz w:val="18"/>
          <w:szCs w:val="18"/>
        </w:rPr>
      </w:pPr>
    </w:p>
    <w:p w14:paraId="6233FA4A" w14:textId="7829CEC1" w:rsidR="000B3E04" w:rsidRPr="000B3E04" w:rsidRDefault="000B3E04" w:rsidP="000B3E04">
      <w:pPr>
        <w:jc w:val="both"/>
        <w:rPr>
          <w:rFonts w:ascii="Poppins" w:hAnsi="Poppins"/>
          <w:sz w:val="18"/>
          <w:szCs w:val="18"/>
          <w:lang w:val="fr-FR"/>
        </w:rPr>
      </w:pPr>
      <w:r w:rsidRPr="000B3E04">
        <w:rPr>
          <w:rFonts w:ascii="Poppins" w:hAnsi="Poppins"/>
          <w:b/>
          <w:bCs/>
          <w:iCs/>
          <w:color w:val="F4333E" w:themeColor="accent2"/>
          <w:sz w:val="18"/>
          <w:szCs w:val="18"/>
          <w:lang w:val="fr-FR"/>
        </w:rPr>
        <w:t>Dans le cadre du Programme d'action pour prévenir, combattre et éradiquer le commerce illicite des armes légères et de petit calibre sous tous ses aspects</w:t>
      </w:r>
      <w:r w:rsidRPr="000B3E04">
        <w:rPr>
          <w:rFonts w:ascii="Poppins" w:hAnsi="Poppins"/>
          <w:color w:val="F4333E" w:themeColor="accent2"/>
          <w:sz w:val="18"/>
          <w:szCs w:val="18"/>
          <w:lang w:val="fr-FR"/>
        </w:rPr>
        <w:t xml:space="preserve"> </w:t>
      </w:r>
      <w:r w:rsidRPr="000B3E04">
        <w:rPr>
          <w:rFonts w:ascii="Poppins" w:hAnsi="Poppins"/>
          <w:sz w:val="18"/>
          <w:szCs w:val="18"/>
          <w:lang w:val="fr-FR"/>
        </w:rPr>
        <w:t xml:space="preserve">(le « Programme d'action » ou </w:t>
      </w:r>
      <w:proofErr w:type="spellStart"/>
      <w:r w:rsidRPr="000B3E04">
        <w:rPr>
          <w:rFonts w:ascii="Poppins" w:hAnsi="Poppins"/>
          <w:sz w:val="18"/>
          <w:szCs w:val="18"/>
          <w:lang w:val="fr-FR"/>
        </w:rPr>
        <w:t>PoA</w:t>
      </w:r>
      <w:proofErr w:type="spellEnd"/>
      <w:r w:rsidRPr="000B3E04">
        <w:rPr>
          <w:rFonts w:ascii="Poppins" w:hAnsi="Poppins"/>
          <w:sz w:val="18"/>
          <w:szCs w:val="18"/>
          <w:lang w:val="fr-FR"/>
        </w:rPr>
        <w:t xml:space="preserve">), les États se sont engagés à prendre une série de mesures pour lutter contre le commerce illicite des ALPC. Le Programme d'action est un cadre volontaire qui appelle les États à mettre en œuvre une législation ou d'autres mesures pour criminaliser la fabrication, la possession, le stockage et commerce des armes légères. Il encourage également la mise en place d'un système d'enregistrement des armes légères grâce à l'utilisation de mécanismes de marquage et de traçage. Le </w:t>
      </w:r>
      <w:proofErr w:type="spellStart"/>
      <w:r w:rsidRPr="000B3E04">
        <w:rPr>
          <w:rFonts w:ascii="Poppins" w:hAnsi="Poppins"/>
          <w:sz w:val="18"/>
          <w:szCs w:val="18"/>
          <w:lang w:val="fr-FR"/>
        </w:rPr>
        <w:t>PoA</w:t>
      </w:r>
      <w:proofErr w:type="spellEnd"/>
      <w:r w:rsidRPr="000B3E04">
        <w:rPr>
          <w:rFonts w:ascii="Poppins" w:hAnsi="Poppins"/>
          <w:sz w:val="18"/>
          <w:szCs w:val="18"/>
          <w:lang w:val="fr-FR"/>
        </w:rPr>
        <w:t xml:space="preserve"> définit les mesures à prendre au niveau national, régional et mondial. De nombreux engagements du </w:t>
      </w:r>
      <w:proofErr w:type="spellStart"/>
      <w:r w:rsidRPr="000B3E04">
        <w:rPr>
          <w:rFonts w:ascii="Poppins" w:hAnsi="Poppins"/>
          <w:sz w:val="18"/>
          <w:szCs w:val="18"/>
          <w:lang w:val="fr-FR"/>
        </w:rPr>
        <w:t>PoA</w:t>
      </w:r>
      <w:proofErr w:type="spellEnd"/>
      <w:r w:rsidRPr="000B3E04">
        <w:rPr>
          <w:rFonts w:ascii="Poppins" w:hAnsi="Poppins"/>
          <w:sz w:val="18"/>
          <w:szCs w:val="18"/>
          <w:lang w:val="fr-FR"/>
        </w:rPr>
        <w:t xml:space="preserve"> ne sont pas spécifiques, mais sont plutôt définis comme des objectifs à durée indéterminée. Bien que le </w:t>
      </w:r>
      <w:proofErr w:type="spellStart"/>
      <w:r w:rsidRPr="000B3E04">
        <w:rPr>
          <w:rFonts w:ascii="Poppins" w:hAnsi="Poppins"/>
          <w:sz w:val="18"/>
          <w:szCs w:val="18"/>
          <w:lang w:val="fr-FR"/>
        </w:rPr>
        <w:t>PoA</w:t>
      </w:r>
      <w:proofErr w:type="spellEnd"/>
      <w:r w:rsidRPr="000B3E04">
        <w:rPr>
          <w:rFonts w:ascii="Poppins" w:hAnsi="Poppins"/>
          <w:sz w:val="18"/>
          <w:szCs w:val="18"/>
          <w:lang w:val="fr-FR"/>
        </w:rPr>
        <w:t xml:space="preserve"> ne soit pas un traité juridiquement contraignant, il s'agit plutôt d'un instrument vivant. Pratiquement tous les membres de l'ONU ont accepté de coopérer dans l'échange d'informations, le dépôt de rapports et la participation aux conférences d'examen régulières du </w:t>
      </w:r>
      <w:proofErr w:type="spellStart"/>
      <w:r w:rsidRPr="000B3E04">
        <w:rPr>
          <w:rFonts w:ascii="Poppins" w:hAnsi="Poppins"/>
          <w:sz w:val="18"/>
          <w:szCs w:val="18"/>
          <w:lang w:val="fr-FR"/>
        </w:rPr>
        <w:t>PoA</w:t>
      </w:r>
      <w:proofErr w:type="spellEnd"/>
      <w:r w:rsidRPr="000B3E04">
        <w:rPr>
          <w:rFonts w:ascii="Poppins" w:hAnsi="Poppins"/>
          <w:sz w:val="18"/>
          <w:szCs w:val="18"/>
          <w:lang w:val="fr-FR"/>
        </w:rPr>
        <w:t xml:space="preserve"> et aux réunions biennales sur sa mise en œuvre tenues à New York.</w:t>
      </w:r>
      <w:r w:rsidRPr="000B3E04">
        <w:rPr>
          <w:rFonts w:ascii="Poppins" w:hAnsi="Poppins"/>
          <w:sz w:val="18"/>
          <w:szCs w:val="18"/>
          <w:vertAlign w:val="superscript"/>
          <w:lang w:val="fr-FR"/>
        </w:rPr>
        <w:footnoteReference w:id="46"/>
      </w:r>
    </w:p>
    <w:p w14:paraId="4698BAEA" w14:textId="38F62495" w:rsidR="00BD39C4" w:rsidRPr="00A2134C" w:rsidRDefault="00BD39C4" w:rsidP="00BD39C4">
      <w:pPr>
        <w:jc w:val="both"/>
        <w:rPr>
          <w:rFonts w:ascii="Poppins" w:hAnsi="Poppins"/>
          <w:sz w:val="18"/>
          <w:szCs w:val="18"/>
        </w:rPr>
      </w:pPr>
    </w:p>
    <w:p w14:paraId="6CBBCCE1" w14:textId="2FADF5FE" w:rsidR="00BD39C4" w:rsidRPr="00E835F3" w:rsidRDefault="00E835F3" w:rsidP="00BD39C4">
      <w:pPr>
        <w:pBdr>
          <w:bottom w:val="single" w:sz="4" w:space="1" w:color="auto"/>
        </w:pBdr>
        <w:jc w:val="both"/>
        <w:rPr>
          <w:rFonts w:ascii="Poppins" w:hAnsi="Poppins"/>
          <w:b/>
          <w:bCs/>
          <w:color w:val="002060"/>
          <w:sz w:val="20"/>
          <w:szCs w:val="18"/>
          <w:lang w:val="fr-FR"/>
        </w:rPr>
      </w:pPr>
      <w:r w:rsidRPr="00E835F3">
        <w:rPr>
          <w:rFonts w:ascii="Poppins" w:hAnsi="Poppins"/>
          <w:b/>
          <w:bCs/>
          <w:color w:val="002060"/>
          <w:sz w:val="20"/>
          <w:szCs w:val="18"/>
          <w:lang w:val="fr-FR"/>
        </w:rPr>
        <w:t>Quelques actions que la société civile peut entreprendre pour lutter contre la prolifération et la violence causée par les ALPC</w:t>
      </w:r>
    </w:p>
    <w:p w14:paraId="517A4BF1" w14:textId="77777777" w:rsidR="00BD39C4" w:rsidRPr="00A2134C" w:rsidRDefault="00BD39C4" w:rsidP="003477C8">
      <w:pPr>
        <w:ind w:right="104"/>
        <w:jc w:val="both"/>
        <w:rPr>
          <w:rFonts w:ascii="Poppins" w:hAnsi="Poppins" w:cs="Poppins"/>
          <w:bCs/>
          <w:iCs/>
          <w:sz w:val="18"/>
          <w:szCs w:val="18"/>
        </w:rPr>
      </w:pPr>
    </w:p>
    <w:p w14:paraId="1CBA1734" w14:textId="6D8ED398" w:rsidR="00DA446B" w:rsidRDefault="00DA446B" w:rsidP="00BD39C4">
      <w:pPr>
        <w:jc w:val="both"/>
        <w:rPr>
          <w:rFonts w:ascii="Poppins" w:hAnsi="Poppins"/>
          <w:sz w:val="18"/>
          <w:szCs w:val="18"/>
          <w:lang w:val="fr-FR"/>
        </w:rPr>
      </w:pPr>
      <w:r w:rsidRPr="00DA446B">
        <w:rPr>
          <w:rFonts w:ascii="Poppins" w:hAnsi="Poppins"/>
          <w:sz w:val="18"/>
          <w:szCs w:val="18"/>
          <w:lang w:val="fr-FR"/>
        </w:rPr>
        <w:t>La société civile peut prendre des mesures pour des contrôles efficaces et rigoureux des ALPC aux niveaux local, national et international</w:t>
      </w:r>
      <w:r>
        <w:rPr>
          <w:rFonts w:ascii="Poppins" w:hAnsi="Poppins"/>
          <w:sz w:val="18"/>
          <w:szCs w:val="18"/>
          <w:lang w:val="fr-FR"/>
        </w:rPr>
        <w:t xml:space="preserve">. </w:t>
      </w:r>
    </w:p>
    <w:p w14:paraId="16353E60" w14:textId="77777777" w:rsidR="00DA446B" w:rsidRDefault="00DA446B" w:rsidP="00BD39C4">
      <w:pPr>
        <w:jc w:val="both"/>
        <w:rPr>
          <w:rFonts w:ascii="Poppins" w:hAnsi="Poppins"/>
          <w:sz w:val="18"/>
          <w:szCs w:val="18"/>
          <w:lang w:val="fr-FR"/>
        </w:rPr>
      </w:pPr>
    </w:p>
    <w:p w14:paraId="350B6452" w14:textId="45593E46" w:rsidR="00BD39C4" w:rsidRPr="00A2134C" w:rsidRDefault="00DA446B" w:rsidP="00BD39C4">
      <w:pPr>
        <w:jc w:val="both"/>
        <w:rPr>
          <w:rFonts w:ascii="Poppins" w:hAnsi="Poppins"/>
          <w:sz w:val="18"/>
          <w:szCs w:val="18"/>
        </w:rPr>
      </w:pPr>
      <w:r w:rsidRPr="00DA446B">
        <w:rPr>
          <w:rFonts w:ascii="Poppins" w:hAnsi="Poppins"/>
          <w:sz w:val="18"/>
          <w:szCs w:val="18"/>
        </w:rPr>
        <w:t xml:space="preserve"> </w:t>
      </w:r>
      <w:r w:rsidRPr="00DA446B">
        <w:rPr>
          <w:rFonts w:ascii="Poppins" w:hAnsi="Poppins"/>
          <w:sz w:val="18"/>
          <w:szCs w:val="18"/>
          <w:lang w:val="fr-FR"/>
        </w:rPr>
        <w:t>Voici quelques idées</w:t>
      </w:r>
      <w:r>
        <w:rPr>
          <w:rFonts w:ascii="Poppins" w:hAnsi="Poppins"/>
          <w:sz w:val="18"/>
          <w:szCs w:val="18"/>
          <w:lang w:val="fr-FR"/>
        </w:rPr>
        <w:t> :</w:t>
      </w:r>
      <w:r w:rsidRPr="00DA446B">
        <w:rPr>
          <w:rFonts w:ascii="Poppins" w:hAnsi="Poppins"/>
          <w:sz w:val="18"/>
          <w:szCs w:val="18"/>
          <w:vertAlign w:val="superscript"/>
        </w:rPr>
        <w:t xml:space="preserve"> </w:t>
      </w:r>
      <w:r w:rsidR="00BD39C4" w:rsidRPr="00A2134C">
        <w:rPr>
          <w:rStyle w:val="FootnoteReference"/>
          <w:color w:val="auto"/>
          <w:sz w:val="18"/>
          <w:szCs w:val="18"/>
        </w:rPr>
        <w:footnoteReference w:id="47"/>
      </w:r>
      <w:r w:rsidR="00BD39C4" w:rsidRPr="00A2134C">
        <w:rPr>
          <w:rFonts w:ascii="Poppins" w:hAnsi="Poppins"/>
          <w:sz w:val="18"/>
          <w:szCs w:val="18"/>
        </w:rPr>
        <w:t xml:space="preserve">  </w:t>
      </w:r>
    </w:p>
    <w:p w14:paraId="11145B88" w14:textId="77777777" w:rsidR="00BD39C4" w:rsidRPr="00A2134C" w:rsidRDefault="00BD39C4" w:rsidP="00BD39C4">
      <w:pPr>
        <w:pBdr>
          <w:top w:val="nil"/>
          <w:left w:val="nil"/>
          <w:bottom w:val="nil"/>
          <w:right w:val="nil"/>
          <w:between w:val="nil"/>
        </w:pBdr>
        <w:ind w:left="720"/>
        <w:jc w:val="both"/>
        <w:rPr>
          <w:rFonts w:ascii="Poppins" w:hAnsi="Poppins"/>
          <w:sz w:val="18"/>
          <w:szCs w:val="18"/>
        </w:rPr>
      </w:pPr>
    </w:p>
    <w:p w14:paraId="55083DA8" w14:textId="7DE33C70" w:rsidR="00BD39C4" w:rsidRPr="00A2134C" w:rsidRDefault="00DA446B" w:rsidP="00BD39C4">
      <w:pPr>
        <w:numPr>
          <w:ilvl w:val="0"/>
          <w:numId w:val="38"/>
        </w:numPr>
        <w:pBdr>
          <w:top w:val="nil"/>
          <w:left w:val="nil"/>
          <w:bottom w:val="nil"/>
          <w:right w:val="nil"/>
          <w:between w:val="nil"/>
        </w:pBdr>
        <w:jc w:val="both"/>
        <w:rPr>
          <w:rFonts w:ascii="Poppins" w:hAnsi="Poppins"/>
          <w:sz w:val="18"/>
          <w:szCs w:val="18"/>
        </w:rPr>
      </w:pPr>
      <w:r w:rsidRPr="00DA446B">
        <w:rPr>
          <w:rFonts w:ascii="Poppins" w:hAnsi="Poppins"/>
          <w:b/>
          <w:bCs/>
          <w:color w:val="FF0000"/>
          <w:sz w:val="18"/>
          <w:szCs w:val="18"/>
          <w:lang w:val="fr-FR"/>
        </w:rPr>
        <w:t>Collaborer avec d'autres organisations de la société civile travaillant sur une gamme de questions différentes</w:t>
      </w:r>
      <w:r w:rsidRPr="00DA446B">
        <w:rPr>
          <w:rFonts w:ascii="Poppins" w:hAnsi="Poppins"/>
          <w:color w:val="FF0000"/>
          <w:sz w:val="18"/>
          <w:szCs w:val="18"/>
          <w:lang w:val="fr-FR"/>
        </w:rPr>
        <w:t xml:space="preserve"> </w:t>
      </w:r>
      <w:r w:rsidRPr="00DA446B">
        <w:rPr>
          <w:rFonts w:ascii="Poppins" w:hAnsi="Poppins"/>
          <w:sz w:val="18"/>
          <w:szCs w:val="18"/>
          <w:lang w:val="fr-FR"/>
        </w:rPr>
        <w:t>(telles que les soins de santé et le développement social) pour examiner les impacts de la violence des ALPC sur leur travail et développer ensemble des plans de plaidoyer pour encourager les gouvernements à agir</w:t>
      </w:r>
      <w:r>
        <w:rPr>
          <w:rFonts w:ascii="Poppins" w:hAnsi="Poppins"/>
          <w:sz w:val="18"/>
          <w:szCs w:val="18"/>
          <w:lang w:val="fr-FR"/>
        </w:rPr>
        <w:t>.</w:t>
      </w:r>
    </w:p>
    <w:p w14:paraId="38323A49" w14:textId="77777777" w:rsidR="00BD39C4" w:rsidRPr="00A2134C" w:rsidRDefault="00BD39C4" w:rsidP="00BD39C4">
      <w:pPr>
        <w:pBdr>
          <w:top w:val="nil"/>
          <w:left w:val="nil"/>
          <w:bottom w:val="nil"/>
          <w:right w:val="nil"/>
          <w:between w:val="nil"/>
        </w:pBdr>
        <w:ind w:left="720"/>
        <w:jc w:val="both"/>
        <w:rPr>
          <w:rFonts w:ascii="Poppins" w:hAnsi="Poppins"/>
          <w:sz w:val="18"/>
          <w:szCs w:val="18"/>
        </w:rPr>
      </w:pPr>
    </w:p>
    <w:p w14:paraId="79F2DDB4" w14:textId="24337702" w:rsidR="00BD39C4" w:rsidRPr="00DF5960" w:rsidRDefault="00DF5960" w:rsidP="00DF5960">
      <w:pPr>
        <w:pStyle w:val="ListParagraph"/>
        <w:numPr>
          <w:ilvl w:val="0"/>
          <w:numId w:val="38"/>
        </w:numPr>
        <w:jc w:val="both"/>
        <w:rPr>
          <w:rFonts w:ascii="Poppins" w:hAnsi="Poppins" w:cstheme="minorHAnsi"/>
          <w:sz w:val="18"/>
          <w:szCs w:val="18"/>
        </w:rPr>
      </w:pPr>
      <w:r w:rsidRPr="00DF5960">
        <w:rPr>
          <w:rFonts w:ascii="Poppins" w:hAnsi="Poppins" w:cstheme="minorHAnsi"/>
          <w:b/>
          <w:bCs/>
          <w:color w:val="FF0000"/>
          <w:sz w:val="18"/>
          <w:szCs w:val="18"/>
          <w:lang w:val="fr-FR"/>
        </w:rPr>
        <w:lastRenderedPageBreak/>
        <w:t>Plaider pour des lois nationales fortes sur les armes à feu et faire mieux connaître et comprendre la crise des armes légères et ses solutions.</w:t>
      </w:r>
      <w:r w:rsidRPr="00DF5960">
        <w:rPr>
          <w:rFonts w:ascii="Poppins" w:hAnsi="Poppins" w:cstheme="minorHAnsi"/>
          <w:color w:val="FF0000"/>
          <w:sz w:val="18"/>
          <w:szCs w:val="18"/>
          <w:lang w:val="fr-FR"/>
        </w:rPr>
        <w:t xml:space="preserve"> </w:t>
      </w:r>
      <w:r w:rsidRPr="00DF5960">
        <w:rPr>
          <w:rFonts w:ascii="Poppins" w:hAnsi="Poppins" w:cstheme="minorHAnsi"/>
          <w:sz w:val="18"/>
          <w:szCs w:val="18"/>
          <w:lang w:val="fr-FR"/>
        </w:rPr>
        <w:t xml:space="preserve">Des lois nationales fortes sur les armes à feu devraient : </w:t>
      </w:r>
    </w:p>
    <w:p w14:paraId="753044C3" w14:textId="05BAEAD1" w:rsidR="00BD39C4" w:rsidRPr="00A2134C" w:rsidRDefault="00DF5960" w:rsidP="00BD39C4">
      <w:pPr>
        <w:pStyle w:val="ListParagraph"/>
        <w:numPr>
          <w:ilvl w:val="1"/>
          <w:numId w:val="38"/>
        </w:numPr>
        <w:autoSpaceDE w:val="0"/>
        <w:autoSpaceDN w:val="0"/>
        <w:adjustRightInd w:val="0"/>
        <w:jc w:val="both"/>
        <w:rPr>
          <w:rFonts w:ascii="Poppins" w:hAnsi="Poppins" w:cstheme="minorHAnsi"/>
          <w:sz w:val="18"/>
          <w:szCs w:val="18"/>
          <w:lang w:val="en-GB"/>
        </w:rPr>
      </w:pPr>
      <w:r w:rsidRPr="00DF5960">
        <w:rPr>
          <w:rFonts w:ascii="Poppins" w:hAnsi="Poppins" w:cstheme="minorHAnsi"/>
          <w:sz w:val="18"/>
          <w:szCs w:val="18"/>
          <w:lang w:val="fr-FR"/>
        </w:rPr>
        <w:t>Assurez-vous que les propriétaires d'armes à feu sont responsables, par exemple </w:t>
      </w:r>
      <w:r w:rsidR="00BD39C4" w:rsidRPr="00A2134C">
        <w:rPr>
          <w:rFonts w:ascii="Poppins" w:hAnsi="Poppins" w:cstheme="minorHAnsi"/>
          <w:sz w:val="18"/>
          <w:szCs w:val="18"/>
          <w:lang w:val="en-GB"/>
        </w:rPr>
        <w:t>:</w:t>
      </w:r>
    </w:p>
    <w:p w14:paraId="7B0B2021" w14:textId="67CF12E9" w:rsidR="00DF5960" w:rsidRPr="00DF5960" w:rsidRDefault="00DF5960" w:rsidP="00DF5960">
      <w:pPr>
        <w:pStyle w:val="ListParagraph"/>
        <w:numPr>
          <w:ilvl w:val="2"/>
          <w:numId w:val="38"/>
        </w:numPr>
        <w:autoSpaceDE w:val="0"/>
        <w:autoSpaceDN w:val="0"/>
        <w:adjustRightInd w:val="0"/>
        <w:jc w:val="both"/>
        <w:rPr>
          <w:rFonts w:ascii="Poppins" w:hAnsi="Poppins" w:cstheme="minorHAnsi"/>
          <w:sz w:val="18"/>
          <w:szCs w:val="18"/>
          <w:lang w:val="fr-FR"/>
        </w:rPr>
      </w:pPr>
      <w:r w:rsidRPr="00DF5960">
        <w:rPr>
          <w:rFonts w:ascii="Poppins" w:hAnsi="Poppins" w:cstheme="minorHAnsi"/>
          <w:sz w:val="18"/>
          <w:szCs w:val="18"/>
          <w:lang w:val="fr-FR"/>
        </w:rPr>
        <w:t>De limiter l'accès aux armes inappropriées (par exemple, interdire la possession d'armes militaires par des civils) ;</w:t>
      </w:r>
    </w:p>
    <w:p w14:paraId="74DC87C6" w14:textId="77777777" w:rsidR="00DF5960" w:rsidRPr="00DF5960" w:rsidRDefault="00DF5960" w:rsidP="00DF5960">
      <w:pPr>
        <w:pStyle w:val="ListParagraph"/>
        <w:numPr>
          <w:ilvl w:val="2"/>
          <w:numId w:val="38"/>
        </w:numPr>
        <w:autoSpaceDE w:val="0"/>
        <w:autoSpaceDN w:val="0"/>
        <w:adjustRightInd w:val="0"/>
        <w:rPr>
          <w:rFonts w:ascii="Poppins" w:hAnsi="Poppins" w:cstheme="minorHAnsi"/>
          <w:sz w:val="18"/>
          <w:szCs w:val="18"/>
          <w:lang w:val="fr-FR"/>
        </w:rPr>
      </w:pPr>
      <w:r w:rsidRPr="00DF5960">
        <w:rPr>
          <w:rFonts w:ascii="Poppins" w:hAnsi="Poppins" w:cstheme="minorHAnsi"/>
          <w:sz w:val="18"/>
          <w:szCs w:val="18"/>
          <w:lang w:val="fr-FR"/>
        </w:rPr>
        <w:t>D’accorder une licence stricte à chaque utilisateur : l'utilisateur doit fournir la preuve qu'il a besoin de l'arme à feu et doit se soumettre à des vérifications approfondies de ses antécédents pour s'assurer qu'il n'a pas d'antécédents de violence, y compris de violence conjugale ;</w:t>
      </w:r>
    </w:p>
    <w:p w14:paraId="4B51A573" w14:textId="77777777" w:rsidR="00DF5960" w:rsidRPr="00DF5960" w:rsidRDefault="00DF5960" w:rsidP="00DF5960">
      <w:pPr>
        <w:pStyle w:val="ListParagraph"/>
        <w:numPr>
          <w:ilvl w:val="2"/>
          <w:numId w:val="38"/>
        </w:numPr>
        <w:autoSpaceDE w:val="0"/>
        <w:autoSpaceDN w:val="0"/>
        <w:adjustRightInd w:val="0"/>
        <w:rPr>
          <w:rFonts w:ascii="Poppins" w:hAnsi="Poppins" w:cstheme="minorHAnsi"/>
          <w:sz w:val="18"/>
          <w:szCs w:val="18"/>
          <w:lang w:val="fr-FR"/>
        </w:rPr>
      </w:pPr>
      <w:r w:rsidRPr="00DF5960">
        <w:rPr>
          <w:rFonts w:ascii="Poppins" w:hAnsi="Poppins" w:cstheme="minorHAnsi"/>
          <w:sz w:val="18"/>
          <w:szCs w:val="18"/>
          <w:lang w:val="fr-FR"/>
        </w:rPr>
        <w:t>De former la police et autres fonctionnaires pour qu'ils sachent quand et comment tirer avec leur arme et les tenir responsables de tout abus commis avec leurs armes ;</w:t>
      </w:r>
    </w:p>
    <w:p w14:paraId="4504A462" w14:textId="3C907BCD" w:rsidR="00BD39C4" w:rsidRPr="00DF5960" w:rsidRDefault="00DF5960" w:rsidP="00DF5960">
      <w:pPr>
        <w:pStyle w:val="ListParagraph"/>
        <w:numPr>
          <w:ilvl w:val="2"/>
          <w:numId w:val="38"/>
        </w:numPr>
        <w:autoSpaceDE w:val="0"/>
        <w:autoSpaceDN w:val="0"/>
        <w:adjustRightInd w:val="0"/>
        <w:jc w:val="both"/>
        <w:rPr>
          <w:rFonts w:ascii="Poppins" w:hAnsi="Poppins" w:cstheme="minorHAnsi"/>
          <w:sz w:val="18"/>
          <w:szCs w:val="18"/>
          <w:lang w:val="en-GB"/>
        </w:rPr>
      </w:pPr>
      <w:r w:rsidRPr="00DF5960">
        <w:rPr>
          <w:rFonts w:ascii="Poppins" w:hAnsi="Poppins" w:cstheme="minorHAnsi"/>
          <w:sz w:val="18"/>
          <w:szCs w:val="18"/>
          <w:lang w:val="fr-FR"/>
        </w:rPr>
        <w:t>De stocker les armes à feu en toute sécurité à la maison pour prévenir les accidents, les suicides, les abus et les vols</w:t>
      </w:r>
      <w:r>
        <w:rPr>
          <w:rFonts w:ascii="Poppins" w:hAnsi="Poppins" w:cstheme="minorHAnsi"/>
          <w:sz w:val="18"/>
          <w:szCs w:val="18"/>
          <w:lang w:val="fr-FR"/>
        </w:rPr>
        <w:t>.</w:t>
      </w:r>
    </w:p>
    <w:p w14:paraId="3C2EA114" w14:textId="77777777" w:rsidR="00A01DCF" w:rsidRDefault="00A01DCF" w:rsidP="00A01DCF">
      <w:pPr>
        <w:autoSpaceDE w:val="0"/>
        <w:autoSpaceDN w:val="0"/>
        <w:adjustRightInd w:val="0"/>
        <w:jc w:val="both"/>
        <w:rPr>
          <w:rFonts w:ascii="Poppins" w:hAnsi="Poppins" w:cstheme="minorHAnsi"/>
          <w:sz w:val="18"/>
          <w:szCs w:val="18"/>
          <w:lang w:val="en-GB"/>
        </w:rPr>
      </w:pPr>
    </w:p>
    <w:p w14:paraId="58855FD4" w14:textId="534F2675" w:rsidR="00A01DCF" w:rsidRDefault="00DF5960" w:rsidP="00A01DCF">
      <w:pPr>
        <w:pStyle w:val="ListParagraph"/>
        <w:numPr>
          <w:ilvl w:val="0"/>
          <w:numId w:val="40"/>
        </w:numPr>
        <w:autoSpaceDE w:val="0"/>
        <w:autoSpaceDN w:val="0"/>
        <w:adjustRightInd w:val="0"/>
        <w:jc w:val="both"/>
        <w:rPr>
          <w:rFonts w:ascii="Poppins" w:hAnsi="Poppins" w:cstheme="minorHAnsi"/>
          <w:sz w:val="18"/>
          <w:szCs w:val="18"/>
          <w:lang w:val="en-GB"/>
        </w:rPr>
      </w:pPr>
      <w:r w:rsidRPr="00DF5960">
        <w:rPr>
          <w:rFonts w:ascii="Poppins" w:hAnsi="Poppins" w:cstheme="minorHAnsi"/>
          <w:b/>
          <w:bCs/>
          <w:color w:val="FF0000"/>
          <w:sz w:val="18"/>
          <w:szCs w:val="18"/>
          <w:lang w:val="fr-FR"/>
        </w:rPr>
        <w:t xml:space="preserve">Réglementer le commerce des armes : </w:t>
      </w:r>
      <w:r w:rsidRPr="00DF5960">
        <w:rPr>
          <w:rFonts w:ascii="Poppins" w:hAnsi="Poppins" w:cstheme="minorHAnsi"/>
          <w:sz w:val="18"/>
          <w:szCs w:val="18"/>
          <w:lang w:val="fr-FR"/>
        </w:rPr>
        <w:t>le commerce mondialisé des armes exige des normes régionales et mondiales solides empêchant les trafiquants, les criminels et les abuseurs de profiter de lacunes. Assurez-vous que votre gouvernement respecte ses obligations en vertu du TCA, du Protocole sur les armes à feu et d'autres instruments pertinents</w:t>
      </w:r>
      <w:r>
        <w:rPr>
          <w:rFonts w:ascii="Poppins" w:hAnsi="Poppins" w:cstheme="minorHAnsi"/>
          <w:sz w:val="18"/>
          <w:szCs w:val="18"/>
          <w:lang w:val="fr-FR"/>
        </w:rPr>
        <w:t>.</w:t>
      </w:r>
    </w:p>
    <w:p w14:paraId="7EDA9DC8" w14:textId="77777777" w:rsidR="00A01DCF" w:rsidRPr="00A01DCF" w:rsidRDefault="00A01DCF" w:rsidP="00A01DCF">
      <w:pPr>
        <w:pStyle w:val="ListParagraph"/>
        <w:autoSpaceDE w:val="0"/>
        <w:autoSpaceDN w:val="0"/>
        <w:adjustRightInd w:val="0"/>
        <w:jc w:val="both"/>
        <w:rPr>
          <w:rFonts w:ascii="Poppins" w:hAnsi="Poppins" w:cstheme="minorHAnsi"/>
          <w:b/>
          <w:color w:val="F4333E" w:themeColor="accent2"/>
          <w:sz w:val="18"/>
          <w:szCs w:val="18"/>
          <w:lang w:val="en-GB"/>
        </w:rPr>
      </w:pPr>
    </w:p>
    <w:p w14:paraId="37C66030" w14:textId="395BAD57" w:rsidR="00A01DCF" w:rsidRPr="00A01DCF" w:rsidRDefault="00DF5960" w:rsidP="00A01DCF">
      <w:pPr>
        <w:pStyle w:val="ListParagraph"/>
        <w:numPr>
          <w:ilvl w:val="0"/>
          <w:numId w:val="40"/>
        </w:numPr>
        <w:autoSpaceDE w:val="0"/>
        <w:autoSpaceDN w:val="0"/>
        <w:adjustRightInd w:val="0"/>
        <w:jc w:val="both"/>
        <w:rPr>
          <w:rFonts w:ascii="Poppins" w:hAnsi="Poppins" w:cstheme="minorHAnsi"/>
          <w:sz w:val="18"/>
          <w:szCs w:val="18"/>
          <w:lang w:val="en-GB"/>
        </w:rPr>
      </w:pPr>
      <w:r w:rsidRPr="00DF5960">
        <w:rPr>
          <w:rFonts w:ascii="Poppins" w:hAnsi="Poppins" w:cstheme="minorHAnsi"/>
          <w:b/>
          <w:bCs/>
          <w:color w:val="FF0000"/>
          <w:sz w:val="18"/>
          <w:szCs w:val="18"/>
          <w:lang w:val="fr-FR"/>
        </w:rPr>
        <w:t>Réduire le nombre d'armes</w:t>
      </w:r>
      <w:r>
        <w:rPr>
          <w:rFonts w:ascii="Poppins" w:hAnsi="Poppins" w:cstheme="minorHAnsi"/>
          <w:color w:val="FF0000"/>
          <w:sz w:val="18"/>
          <w:szCs w:val="18"/>
          <w:lang w:val="fr-FR"/>
        </w:rPr>
        <w:t> :</w:t>
      </w:r>
      <w:r w:rsidRPr="00DF5960">
        <w:rPr>
          <w:rFonts w:ascii="Poppins" w:hAnsi="Poppins" w:cstheme="minorHAnsi"/>
          <w:color w:val="FF0000"/>
          <w:sz w:val="18"/>
          <w:szCs w:val="18"/>
          <w:lang w:val="fr-FR"/>
        </w:rPr>
        <w:t xml:space="preserve"> </w:t>
      </w:r>
      <w:r w:rsidRPr="00DF5960">
        <w:rPr>
          <w:rFonts w:ascii="Poppins" w:hAnsi="Poppins" w:cstheme="minorHAnsi"/>
          <w:sz w:val="18"/>
          <w:szCs w:val="18"/>
          <w:lang w:val="fr-FR"/>
        </w:rPr>
        <w:t>cela implique de retirer les armes de la circulation et de s'attaquer aux raisons pour lesquelles les gens veulent des armes à feu. Les États peuvent, par exempl</w:t>
      </w:r>
      <w:r>
        <w:rPr>
          <w:rFonts w:ascii="Poppins" w:hAnsi="Poppins" w:cstheme="minorHAnsi"/>
          <w:sz w:val="18"/>
          <w:szCs w:val="18"/>
          <w:lang w:val="fr-FR"/>
        </w:rPr>
        <w:t>e :</w:t>
      </w:r>
    </w:p>
    <w:p w14:paraId="23F72842" w14:textId="0E02111D" w:rsidR="00DF5960" w:rsidRPr="00DF5960" w:rsidRDefault="00DF5960" w:rsidP="00DF5960">
      <w:pPr>
        <w:pStyle w:val="ListParagraph"/>
        <w:numPr>
          <w:ilvl w:val="1"/>
          <w:numId w:val="40"/>
        </w:numPr>
        <w:autoSpaceDE w:val="0"/>
        <w:autoSpaceDN w:val="0"/>
        <w:adjustRightInd w:val="0"/>
        <w:jc w:val="both"/>
        <w:rPr>
          <w:rFonts w:ascii="Poppins" w:hAnsi="Poppins" w:cstheme="minorHAnsi"/>
          <w:sz w:val="18"/>
          <w:szCs w:val="18"/>
          <w:lang w:val="fr-FR"/>
        </w:rPr>
      </w:pPr>
      <w:r w:rsidRPr="00DF5960">
        <w:rPr>
          <w:rFonts w:ascii="Poppins" w:hAnsi="Poppins" w:cstheme="minorHAnsi"/>
          <w:sz w:val="18"/>
          <w:szCs w:val="18"/>
          <w:lang w:val="fr-FR"/>
        </w:rPr>
        <w:t>Détruire les armes excédentaires, ainsi que celles saisies par la police ou collectées dans le cadre des programmes de désarmement ;</w:t>
      </w:r>
    </w:p>
    <w:p w14:paraId="5BD036E7" w14:textId="77777777" w:rsidR="00DF5960" w:rsidRPr="00DF5960" w:rsidRDefault="00DF5960" w:rsidP="00DF5960">
      <w:pPr>
        <w:pStyle w:val="ListParagraph"/>
        <w:numPr>
          <w:ilvl w:val="1"/>
          <w:numId w:val="40"/>
        </w:numPr>
        <w:autoSpaceDE w:val="0"/>
        <w:autoSpaceDN w:val="0"/>
        <w:adjustRightInd w:val="0"/>
        <w:rPr>
          <w:rFonts w:ascii="Poppins" w:hAnsi="Poppins" w:cstheme="minorHAnsi"/>
          <w:sz w:val="18"/>
          <w:szCs w:val="18"/>
          <w:lang w:val="fr-FR"/>
        </w:rPr>
      </w:pPr>
      <w:r w:rsidRPr="00DF5960">
        <w:rPr>
          <w:rFonts w:ascii="Poppins" w:hAnsi="Poppins" w:cstheme="minorHAnsi"/>
          <w:sz w:val="18"/>
          <w:szCs w:val="18"/>
          <w:lang w:val="fr-FR"/>
        </w:rPr>
        <w:t>Renforcer les capacités de la police afin que les citoyens lui fassent confiance pour faire respecter la loi et poursuivre les crimes, et que les communautés ne ressentent pas le besoin de s'armer ;</w:t>
      </w:r>
    </w:p>
    <w:p w14:paraId="7812DE27" w14:textId="1F836C0C" w:rsidR="00BD39C4" w:rsidRPr="00DF5960" w:rsidRDefault="00DF5960" w:rsidP="00DF5960">
      <w:pPr>
        <w:pStyle w:val="ListParagraph"/>
        <w:numPr>
          <w:ilvl w:val="1"/>
          <w:numId w:val="40"/>
        </w:numPr>
        <w:autoSpaceDE w:val="0"/>
        <w:autoSpaceDN w:val="0"/>
        <w:adjustRightInd w:val="0"/>
        <w:jc w:val="both"/>
        <w:rPr>
          <w:rFonts w:ascii="Poppins" w:hAnsi="Poppins" w:cstheme="minorHAnsi"/>
          <w:sz w:val="18"/>
          <w:szCs w:val="18"/>
          <w:lang w:val="en-GB"/>
        </w:rPr>
      </w:pPr>
      <w:r w:rsidRPr="00DF5960">
        <w:rPr>
          <w:rFonts w:ascii="Poppins" w:hAnsi="Poppins" w:cstheme="minorHAnsi"/>
          <w:sz w:val="18"/>
          <w:szCs w:val="18"/>
          <w:lang w:val="fr-FR"/>
        </w:rPr>
        <w:t>Éduquer le public sur les risques réels d'avoir des armes à feu à la maison</w:t>
      </w:r>
      <w:r>
        <w:rPr>
          <w:rFonts w:ascii="Poppins" w:hAnsi="Poppins" w:cstheme="minorHAnsi"/>
          <w:sz w:val="18"/>
          <w:szCs w:val="18"/>
          <w:lang w:val="fr-FR"/>
        </w:rPr>
        <w:t>.</w:t>
      </w:r>
    </w:p>
    <w:p w14:paraId="0FD4C4D4" w14:textId="77777777" w:rsidR="00DF5960" w:rsidRPr="00DF5960" w:rsidRDefault="00DF5960" w:rsidP="00DF5960">
      <w:pPr>
        <w:pStyle w:val="ListParagraph"/>
        <w:autoSpaceDE w:val="0"/>
        <w:autoSpaceDN w:val="0"/>
        <w:adjustRightInd w:val="0"/>
        <w:ind w:left="1440"/>
        <w:jc w:val="both"/>
        <w:rPr>
          <w:rFonts w:ascii="Poppins" w:hAnsi="Poppins" w:cstheme="minorHAnsi"/>
          <w:sz w:val="18"/>
          <w:szCs w:val="18"/>
          <w:lang w:val="en-GB"/>
        </w:rPr>
      </w:pPr>
    </w:p>
    <w:p w14:paraId="06E17E00" w14:textId="6BCC7BA2" w:rsidR="00BD39C4" w:rsidRPr="00A2134C" w:rsidRDefault="00532F49" w:rsidP="00BD39C4">
      <w:pPr>
        <w:pStyle w:val="ListParagraph"/>
        <w:numPr>
          <w:ilvl w:val="0"/>
          <w:numId w:val="39"/>
        </w:numPr>
        <w:jc w:val="both"/>
        <w:rPr>
          <w:rFonts w:ascii="Poppins" w:hAnsi="Poppins" w:cstheme="minorHAnsi"/>
          <w:sz w:val="18"/>
          <w:szCs w:val="18"/>
        </w:rPr>
      </w:pPr>
      <w:r w:rsidRPr="00532F49">
        <w:rPr>
          <w:rFonts w:ascii="Poppins" w:hAnsi="Poppins" w:cstheme="minorHAnsi"/>
          <w:b/>
          <w:bCs/>
          <w:color w:val="FF0000"/>
          <w:sz w:val="18"/>
          <w:szCs w:val="18"/>
          <w:lang w:val="fr-FR"/>
        </w:rPr>
        <w:t>Encourager les gouvernements à collecter des données ventilées par sexe et par âge sur les ALPC et la violence qui y est associée,</w:t>
      </w:r>
      <w:r w:rsidRPr="00532F49">
        <w:rPr>
          <w:rFonts w:ascii="Poppins" w:hAnsi="Poppins" w:cstheme="minorHAnsi"/>
          <w:color w:val="FF0000"/>
          <w:sz w:val="18"/>
          <w:szCs w:val="18"/>
          <w:lang w:val="fr-FR"/>
        </w:rPr>
        <w:t xml:space="preserve"> </w:t>
      </w:r>
      <w:r w:rsidRPr="00532F49">
        <w:rPr>
          <w:rFonts w:ascii="Poppins" w:hAnsi="Poppins" w:cstheme="minorHAnsi"/>
          <w:sz w:val="18"/>
          <w:szCs w:val="18"/>
          <w:lang w:val="fr-FR"/>
        </w:rPr>
        <w:t xml:space="preserve">et à soutenir la recherche pour améliorer les analyses des impacts </w:t>
      </w:r>
      <w:proofErr w:type="spellStart"/>
      <w:r w:rsidRPr="00532F49">
        <w:rPr>
          <w:rFonts w:ascii="Poppins" w:hAnsi="Poppins" w:cstheme="minorHAnsi"/>
          <w:sz w:val="18"/>
          <w:szCs w:val="18"/>
          <w:lang w:val="fr-FR"/>
        </w:rPr>
        <w:t>sexospécifiques</w:t>
      </w:r>
      <w:proofErr w:type="spellEnd"/>
      <w:r w:rsidRPr="00532F49">
        <w:rPr>
          <w:rFonts w:ascii="Poppins" w:hAnsi="Poppins" w:cstheme="minorHAnsi"/>
          <w:sz w:val="18"/>
          <w:szCs w:val="18"/>
          <w:lang w:val="fr-FR"/>
        </w:rPr>
        <w:t xml:space="preserve"> des ALPC et des impacts sur divers individus, communautés et économies afin d'éclairer correctement les réponses politiques</w:t>
      </w:r>
      <w:r>
        <w:rPr>
          <w:rFonts w:ascii="Poppins" w:hAnsi="Poppins" w:cstheme="minorHAnsi"/>
          <w:sz w:val="18"/>
          <w:szCs w:val="18"/>
          <w:lang w:val="fr-FR"/>
        </w:rPr>
        <w:t>.</w:t>
      </w:r>
    </w:p>
    <w:p w14:paraId="13AB74FC" w14:textId="77777777" w:rsidR="00BD39C4" w:rsidRPr="00A2134C" w:rsidRDefault="00BD39C4" w:rsidP="00BD39C4">
      <w:pPr>
        <w:jc w:val="both"/>
        <w:rPr>
          <w:rFonts w:ascii="Poppins" w:hAnsi="Poppins" w:cstheme="minorHAnsi"/>
          <w:sz w:val="18"/>
          <w:szCs w:val="18"/>
        </w:rPr>
      </w:pPr>
    </w:p>
    <w:p w14:paraId="33B396C1" w14:textId="5D56D4B4" w:rsidR="00BD39C4" w:rsidRPr="00A2134C" w:rsidRDefault="00532F49" w:rsidP="00BD39C4">
      <w:pPr>
        <w:numPr>
          <w:ilvl w:val="0"/>
          <w:numId w:val="38"/>
        </w:numPr>
        <w:pBdr>
          <w:top w:val="nil"/>
          <w:left w:val="nil"/>
          <w:bottom w:val="nil"/>
          <w:right w:val="nil"/>
          <w:between w:val="nil"/>
        </w:pBdr>
        <w:jc w:val="both"/>
        <w:rPr>
          <w:rFonts w:ascii="Poppins" w:hAnsi="Poppins"/>
          <w:sz w:val="18"/>
          <w:szCs w:val="18"/>
        </w:rPr>
      </w:pPr>
      <w:r w:rsidRPr="00532F49">
        <w:rPr>
          <w:rFonts w:ascii="Poppins" w:hAnsi="Poppins"/>
          <w:b/>
          <w:bCs/>
          <w:color w:val="FF0000"/>
          <w:sz w:val="18"/>
          <w:szCs w:val="18"/>
          <w:lang w:val="fr-FR"/>
        </w:rPr>
        <w:t>Assurer une forte présence de la société civile dans les processus internationaux</w:t>
      </w:r>
      <w:r w:rsidRPr="00532F49">
        <w:rPr>
          <w:rFonts w:ascii="Poppins" w:hAnsi="Poppins"/>
          <w:color w:val="FF0000"/>
          <w:sz w:val="18"/>
          <w:szCs w:val="18"/>
          <w:lang w:val="fr-FR"/>
        </w:rPr>
        <w:t xml:space="preserve"> </w:t>
      </w:r>
      <w:r w:rsidRPr="00532F49">
        <w:rPr>
          <w:rFonts w:ascii="Poppins" w:hAnsi="Poppins"/>
          <w:sz w:val="18"/>
          <w:szCs w:val="18"/>
          <w:lang w:val="fr-FR"/>
        </w:rPr>
        <w:t xml:space="preserve">et sensibiliser à l'importance de la participation de la société civile dans l'élaboration et la mise en œuvre des réponses à la violence causée par les ALPC. Par exemple, la société civile a besoin de soutien pour être présente aux réunions biennales des États sur le </w:t>
      </w:r>
      <w:proofErr w:type="spellStart"/>
      <w:r w:rsidRPr="00532F49">
        <w:rPr>
          <w:rFonts w:ascii="Poppins" w:hAnsi="Poppins"/>
          <w:sz w:val="18"/>
          <w:szCs w:val="18"/>
          <w:lang w:val="fr-FR"/>
        </w:rPr>
        <w:t>PoA</w:t>
      </w:r>
      <w:proofErr w:type="spellEnd"/>
      <w:r w:rsidRPr="00532F49">
        <w:rPr>
          <w:rFonts w:ascii="Poppins" w:hAnsi="Poppins"/>
          <w:sz w:val="18"/>
          <w:szCs w:val="18"/>
          <w:lang w:val="fr-FR"/>
        </w:rPr>
        <w:t xml:space="preserve"> et aux conférences des États parties au TCA</w:t>
      </w:r>
      <w:r>
        <w:rPr>
          <w:rFonts w:ascii="Poppins" w:hAnsi="Poppins"/>
          <w:sz w:val="18"/>
          <w:szCs w:val="18"/>
          <w:lang w:val="fr-FR"/>
        </w:rPr>
        <w:t>.</w:t>
      </w:r>
    </w:p>
    <w:p w14:paraId="0BAB2E3A" w14:textId="77777777" w:rsidR="00BD39C4" w:rsidRPr="00A2134C" w:rsidRDefault="00BD39C4" w:rsidP="00BD39C4">
      <w:pPr>
        <w:pBdr>
          <w:top w:val="nil"/>
          <w:left w:val="nil"/>
          <w:bottom w:val="nil"/>
          <w:right w:val="nil"/>
          <w:between w:val="nil"/>
        </w:pBdr>
        <w:ind w:left="720"/>
        <w:jc w:val="both"/>
        <w:rPr>
          <w:rFonts w:ascii="Poppins" w:hAnsi="Poppins"/>
          <w:sz w:val="18"/>
          <w:szCs w:val="18"/>
        </w:rPr>
      </w:pPr>
    </w:p>
    <w:p w14:paraId="41191ED1" w14:textId="7CABFB1C" w:rsidR="00BD39C4" w:rsidRPr="00A2134C" w:rsidRDefault="00532F49" w:rsidP="00BD39C4">
      <w:pPr>
        <w:numPr>
          <w:ilvl w:val="0"/>
          <w:numId w:val="38"/>
        </w:numPr>
        <w:pBdr>
          <w:top w:val="nil"/>
          <w:left w:val="nil"/>
          <w:bottom w:val="nil"/>
          <w:right w:val="nil"/>
          <w:between w:val="nil"/>
        </w:pBdr>
        <w:jc w:val="both"/>
        <w:rPr>
          <w:rFonts w:ascii="Poppins" w:hAnsi="Poppins"/>
          <w:b/>
          <w:i/>
          <w:sz w:val="18"/>
          <w:szCs w:val="18"/>
        </w:rPr>
      </w:pPr>
      <w:r w:rsidRPr="00532F49">
        <w:rPr>
          <w:rFonts w:ascii="Poppins" w:hAnsi="Poppins"/>
          <w:b/>
          <w:bCs/>
          <w:color w:val="FF0000"/>
          <w:sz w:val="18"/>
          <w:szCs w:val="18"/>
          <w:lang w:val="fr-FR"/>
        </w:rPr>
        <w:t>Exhorter les gouvernements à mettre en œuvre un contrôle des ALPC sensible au genre lorsqu'ils traitent des problèmes liés à la disponibilité, à la prolifération et à l'utilisation abusive des armes.</w:t>
      </w:r>
      <w:r w:rsidRPr="00532F49">
        <w:rPr>
          <w:rFonts w:ascii="Poppins" w:hAnsi="Poppins"/>
          <w:color w:val="FF0000"/>
          <w:sz w:val="18"/>
          <w:szCs w:val="18"/>
          <w:lang w:val="fr-FR"/>
        </w:rPr>
        <w:t xml:space="preserve"> </w:t>
      </w:r>
      <w:r w:rsidRPr="00532F49">
        <w:rPr>
          <w:rFonts w:ascii="Poppins" w:hAnsi="Poppins"/>
          <w:sz w:val="18"/>
          <w:szCs w:val="18"/>
          <w:lang w:val="fr-FR"/>
        </w:rPr>
        <w:t>Les stratégies de maîtrise des armements doivent répondre aux différents risques auxquels sont confrontés les hommes, les femmes, les filles, les garçons et les personnes ayant d'autres identités de genre</w:t>
      </w:r>
      <w:r>
        <w:rPr>
          <w:rFonts w:ascii="Poppins" w:hAnsi="Poppins"/>
          <w:sz w:val="18"/>
          <w:szCs w:val="18"/>
          <w:lang w:val="fr-FR"/>
        </w:rPr>
        <w:t>.</w:t>
      </w:r>
    </w:p>
    <w:p w14:paraId="7BC01728" w14:textId="77777777" w:rsidR="00BD39C4" w:rsidRPr="00A2134C" w:rsidRDefault="00BD39C4" w:rsidP="00BD39C4">
      <w:pPr>
        <w:pBdr>
          <w:top w:val="nil"/>
          <w:left w:val="nil"/>
          <w:bottom w:val="nil"/>
          <w:right w:val="nil"/>
          <w:between w:val="nil"/>
        </w:pBdr>
        <w:ind w:left="720"/>
        <w:jc w:val="both"/>
        <w:rPr>
          <w:rFonts w:ascii="Poppins" w:hAnsi="Poppins"/>
          <w:b/>
          <w:i/>
          <w:sz w:val="18"/>
          <w:szCs w:val="18"/>
        </w:rPr>
      </w:pPr>
    </w:p>
    <w:p w14:paraId="13455491" w14:textId="54A1BB3C" w:rsidR="00BD39C4" w:rsidRPr="00A2134C" w:rsidRDefault="00532F49" w:rsidP="00BD39C4">
      <w:pPr>
        <w:numPr>
          <w:ilvl w:val="0"/>
          <w:numId w:val="38"/>
        </w:numPr>
        <w:pBdr>
          <w:top w:val="nil"/>
          <w:left w:val="nil"/>
          <w:bottom w:val="nil"/>
          <w:right w:val="nil"/>
          <w:between w:val="nil"/>
        </w:pBdr>
        <w:jc w:val="both"/>
        <w:rPr>
          <w:rFonts w:ascii="Poppins" w:hAnsi="Poppins"/>
          <w:b/>
          <w:bCs/>
          <w:i/>
          <w:sz w:val="18"/>
          <w:szCs w:val="18"/>
        </w:rPr>
      </w:pPr>
      <w:r w:rsidRPr="00532F49">
        <w:rPr>
          <w:rFonts w:ascii="Poppins" w:hAnsi="Poppins"/>
          <w:b/>
          <w:bCs/>
          <w:color w:val="FF0000"/>
          <w:sz w:val="18"/>
          <w:szCs w:val="18"/>
          <w:lang w:val="fr-FR"/>
        </w:rPr>
        <w:t>Encourager les gouvernements à veiller à ce que les jeunes, les survivants et les autres groupes sous-représentés participent pleinement et efficacement aux efforts visant à réduire les ALPC et la violence qui y est associée.</w:t>
      </w:r>
      <w:r w:rsidRPr="00532F49">
        <w:rPr>
          <w:rFonts w:ascii="Poppins" w:hAnsi="Poppins"/>
          <w:color w:val="FF0000"/>
          <w:sz w:val="18"/>
          <w:szCs w:val="18"/>
          <w:lang w:val="fr-FR"/>
        </w:rPr>
        <w:t xml:space="preserve"> </w:t>
      </w:r>
      <w:r w:rsidRPr="00532F49">
        <w:rPr>
          <w:rFonts w:ascii="Poppins" w:hAnsi="Poppins"/>
          <w:sz w:val="18"/>
          <w:szCs w:val="18"/>
          <w:lang w:val="fr-FR"/>
        </w:rPr>
        <w:t>La société civile peut et doit donner l'exemple de bonnes pratiques à cet égard</w:t>
      </w:r>
      <w:r>
        <w:rPr>
          <w:rFonts w:ascii="Poppins" w:hAnsi="Poppins"/>
          <w:sz w:val="18"/>
          <w:szCs w:val="18"/>
          <w:lang w:val="fr-FR"/>
        </w:rPr>
        <w:t>.</w:t>
      </w:r>
    </w:p>
    <w:p w14:paraId="1A1C08DB" w14:textId="77777777" w:rsidR="00B965CB" w:rsidRDefault="00B965CB" w:rsidP="003477C8">
      <w:pPr>
        <w:ind w:right="104"/>
        <w:jc w:val="both"/>
        <w:rPr>
          <w:rFonts w:ascii="Poppins" w:hAnsi="Poppins" w:cs="Poppins"/>
          <w:bCs/>
          <w:iCs/>
          <w:sz w:val="18"/>
          <w:szCs w:val="18"/>
        </w:rPr>
      </w:pPr>
      <w:bookmarkStart w:id="1" w:name="_GoBack"/>
      <w:bookmarkEnd w:id="1"/>
    </w:p>
    <w:p w14:paraId="3878C5C3" w14:textId="77777777" w:rsidR="00DB590F" w:rsidRDefault="00DB590F" w:rsidP="003477C8">
      <w:pPr>
        <w:ind w:right="104"/>
        <w:jc w:val="both"/>
        <w:rPr>
          <w:rFonts w:ascii="Poppins" w:hAnsi="Poppins" w:cs="Poppins"/>
          <w:bCs/>
          <w:iCs/>
          <w:sz w:val="18"/>
          <w:szCs w:val="18"/>
        </w:rPr>
      </w:pPr>
    </w:p>
    <w:p w14:paraId="0C479346" w14:textId="77777777" w:rsidR="00DB590F" w:rsidRDefault="00DB590F" w:rsidP="003477C8">
      <w:pPr>
        <w:ind w:right="104"/>
        <w:jc w:val="both"/>
        <w:rPr>
          <w:rFonts w:ascii="Poppins" w:hAnsi="Poppins" w:cs="Poppins"/>
          <w:bCs/>
          <w:iCs/>
          <w:sz w:val="18"/>
          <w:szCs w:val="18"/>
        </w:rPr>
      </w:pPr>
    </w:p>
    <w:p w14:paraId="30E99835" w14:textId="77777777" w:rsidR="00DB590F" w:rsidRDefault="00DB590F" w:rsidP="003477C8">
      <w:pPr>
        <w:ind w:right="104"/>
        <w:jc w:val="both"/>
        <w:rPr>
          <w:rFonts w:ascii="Poppins" w:hAnsi="Poppins" w:cs="Poppins"/>
          <w:bCs/>
          <w:iCs/>
          <w:sz w:val="18"/>
          <w:szCs w:val="18"/>
        </w:rPr>
      </w:pPr>
    </w:p>
    <w:p w14:paraId="0C80F070" w14:textId="77777777" w:rsidR="00DB590F" w:rsidRDefault="00DB590F" w:rsidP="003477C8">
      <w:pPr>
        <w:ind w:right="104"/>
        <w:jc w:val="both"/>
        <w:rPr>
          <w:rFonts w:ascii="Poppins" w:hAnsi="Poppins" w:cs="Poppins"/>
          <w:bCs/>
          <w:iCs/>
          <w:sz w:val="18"/>
          <w:szCs w:val="18"/>
        </w:rPr>
      </w:pPr>
    </w:p>
    <w:p w14:paraId="4994C198" w14:textId="77777777" w:rsidR="00DB590F" w:rsidRDefault="00DB590F" w:rsidP="003477C8">
      <w:pPr>
        <w:ind w:right="104"/>
        <w:jc w:val="both"/>
        <w:rPr>
          <w:rFonts w:ascii="Poppins" w:hAnsi="Poppins" w:cs="Poppins"/>
          <w:bCs/>
          <w:iCs/>
          <w:sz w:val="18"/>
          <w:szCs w:val="18"/>
        </w:rPr>
      </w:pPr>
    </w:p>
    <w:p w14:paraId="509D74D5" w14:textId="3E95A691" w:rsidR="0008646B" w:rsidRPr="00B965CB" w:rsidRDefault="00532F49" w:rsidP="00B965CB">
      <w:pPr>
        <w:pStyle w:val="IANSAInfoBox"/>
      </w:pPr>
      <w:r w:rsidRPr="00532F49">
        <w:rPr>
          <w:lang w:val="fr-FR"/>
        </w:rPr>
        <w:t xml:space="preserve">Ce document d'information a été rédigé par Dr. Brian Wood. L'édition et les commentaires ont été fournis par </w:t>
      </w:r>
      <w:proofErr w:type="spellStart"/>
      <w:r w:rsidRPr="00532F49">
        <w:rPr>
          <w:lang w:val="fr-FR"/>
        </w:rPr>
        <w:t>Clare</w:t>
      </w:r>
      <w:proofErr w:type="spellEnd"/>
      <w:r w:rsidRPr="00532F49">
        <w:rPr>
          <w:lang w:val="fr-FR"/>
        </w:rPr>
        <w:t xml:space="preserve"> da Silva, Teresa </w:t>
      </w:r>
      <w:proofErr w:type="spellStart"/>
      <w:r w:rsidRPr="00532F49">
        <w:rPr>
          <w:lang w:val="fr-FR"/>
        </w:rPr>
        <w:t>Dybeck</w:t>
      </w:r>
      <w:proofErr w:type="spellEnd"/>
      <w:r w:rsidRPr="00532F49">
        <w:rPr>
          <w:lang w:val="fr-FR"/>
        </w:rPr>
        <w:t xml:space="preserve"> et Dr. Natalie </w:t>
      </w:r>
      <w:proofErr w:type="spellStart"/>
      <w:r w:rsidRPr="00532F49">
        <w:rPr>
          <w:lang w:val="fr-FR"/>
        </w:rPr>
        <w:t>Goldring</w:t>
      </w:r>
      <w:proofErr w:type="spellEnd"/>
      <w:r w:rsidRPr="00532F49">
        <w:rPr>
          <w:lang w:val="fr-FR"/>
        </w:rPr>
        <w:t>. Il a été conçu par Emily Callsen</w:t>
      </w:r>
      <w:r>
        <w:rPr>
          <w:lang w:val="fr-FR"/>
        </w:rPr>
        <w:t>.</w:t>
      </w:r>
    </w:p>
    <w:p w14:paraId="4EF282C1" w14:textId="77777777" w:rsidR="00FE0913" w:rsidRDefault="00FE0913" w:rsidP="003477C8">
      <w:pPr>
        <w:ind w:right="104"/>
        <w:jc w:val="both"/>
        <w:rPr>
          <w:rFonts w:ascii="Poppins" w:hAnsi="Poppins" w:cs="Poppins"/>
          <w:bCs/>
          <w:iCs/>
          <w:sz w:val="18"/>
          <w:szCs w:val="18"/>
        </w:rPr>
      </w:pPr>
    </w:p>
    <w:p w14:paraId="6AD3B3F1" w14:textId="77777777" w:rsidR="00DB590F" w:rsidRDefault="00DB590F" w:rsidP="003477C8">
      <w:pPr>
        <w:ind w:right="104"/>
        <w:jc w:val="both"/>
        <w:rPr>
          <w:rFonts w:ascii="Poppins" w:hAnsi="Poppins" w:cs="Poppins"/>
          <w:bCs/>
          <w:iCs/>
          <w:sz w:val="18"/>
          <w:szCs w:val="18"/>
        </w:rPr>
      </w:pPr>
    </w:p>
    <w:p w14:paraId="56AB0894" w14:textId="77777777" w:rsidR="00DB590F" w:rsidRDefault="00DB590F" w:rsidP="003477C8">
      <w:pPr>
        <w:ind w:right="104"/>
        <w:jc w:val="both"/>
        <w:rPr>
          <w:rFonts w:ascii="Poppins" w:hAnsi="Poppins" w:cs="Poppins"/>
          <w:bCs/>
          <w:iCs/>
          <w:sz w:val="18"/>
          <w:szCs w:val="18"/>
        </w:rPr>
      </w:pPr>
    </w:p>
    <w:p w14:paraId="7A75027C" w14:textId="77777777" w:rsidR="00DB590F" w:rsidRDefault="00DB590F" w:rsidP="003477C8">
      <w:pPr>
        <w:ind w:right="104"/>
        <w:jc w:val="both"/>
        <w:rPr>
          <w:rFonts w:ascii="Poppins" w:hAnsi="Poppins" w:cs="Poppins"/>
          <w:bCs/>
          <w:iCs/>
          <w:sz w:val="18"/>
          <w:szCs w:val="18"/>
        </w:rPr>
      </w:pPr>
    </w:p>
    <w:p w14:paraId="2BDE8D10" w14:textId="26AB0C9F" w:rsidR="00FE781E" w:rsidRPr="00B61815" w:rsidRDefault="005963C3" w:rsidP="00B61815">
      <w:pPr>
        <w:ind w:right="104"/>
        <w:jc w:val="center"/>
        <w:rPr>
          <w:rFonts w:ascii="Poppins" w:hAnsi="Poppins" w:cs="Poppins"/>
          <w:bCs/>
          <w:iCs/>
          <w:sz w:val="18"/>
          <w:szCs w:val="18"/>
        </w:rPr>
      </w:pPr>
      <w:r>
        <w:rPr>
          <w:rFonts w:ascii="Poppins" w:hAnsi="Poppins" w:cs="Poppins"/>
          <w:bCs/>
          <w:iCs/>
          <w:noProof/>
          <w:sz w:val="18"/>
          <w:szCs w:val="18"/>
        </w:rPr>
        <w:drawing>
          <wp:inline distT="0" distB="0" distL="0" distR="0" wp14:anchorId="0B0FE963" wp14:editId="45C93D31">
            <wp:extent cx="4051935" cy="8913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N-EU Logo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84286" cy="898493"/>
                    </a:xfrm>
                    <a:prstGeom prst="rect">
                      <a:avLst/>
                    </a:prstGeom>
                  </pic:spPr>
                </pic:pic>
              </a:graphicData>
            </a:graphic>
          </wp:inline>
        </w:drawing>
      </w:r>
    </w:p>
    <w:sectPr w:rsidR="00FE781E" w:rsidRPr="00B61815" w:rsidSect="00B55011">
      <w:type w:val="continuous"/>
      <w:pgSz w:w="11906" w:h="16838"/>
      <w:pgMar w:top="1440" w:right="1080" w:bottom="1440" w:left="108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325C85" w16cex:dateUtc="2022-05-20T17:29:00Z"/>
  <w16cex:commentExtensible w16cex:durableId="26325EB7" w16cex:dateUtc="2022-05-20T17:38:00Z"/>
  <w16cex:commentExtensible w16cex:durableId="26325E3B" w16cex:dateUtc="2022-05-20T17:36:00Z"/>
  <w16cex:commentExtensible w16cex:durableId="26325FFB" w16cex:dateUtc="2022-05-20T17:44:00Z"/>
  <w16cex:commentExtensible w16cex:durableId="263264F7" w16cex:dateUtc="2022-05-20T18:05:00Z"/>
  <w16cex:commentExtensible w16cex:durableId="263266AF" w16cex:dateUtc="2022-05-20T18:12:00Z"/>
  <w16cex:commentExtensible w16cex:durableId="263266D6" w16cex:dateUtc="2022-05-20T1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0C7832" w16cid:durableId="26325C85"/>
  <w16cid:commentId w16cid:paraId="135E81F3" w16cid:durableId="26325EB7"/>
  <w16cid:commentId w16cid:paraId="4E4BE971" w16cid:durableId="26325E3B"/>
  <w16cid:commentId w16cid:paraId="03134452" w16cid:durableId="26325FFB"/>
  <w16cid:commentId w16cid:paraId="57ECE1E1" w16cid:durableId="263264F7"/>
  <w16cid:commentId w16cid:paraId="05801583" w16cid:durableId="263266AF"/>
  <w16cid:commentId w16cid:paraId="6E0924CF" w16cid:durableId="26325888"/>
  <w16cid:commentId w16cid:paraId="5888AD0B" w16cid:durableId="263266D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B1138" w14:textId="77777777" w:rsidR="0084394B" w:rsidRDefault="0084394B" w:rsidP="00A83A7A">
      <w:r>
        <w:separator/>
      </w:r>
    </w:p>
  </w:endnote>
  <w:endnote w:type="continuationSeparator" w:id="0">
    <w:p w14:paraId="675C7987" w14:textId="77777777" w:rsidR="0084394B" w:rsidRDefault="0084394B" w:rsidP="00A8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14579189"/>
      <w:docPartObj>
        <w:docPartGallery w:val="Page Numbers (Bottom of Page)"/>
        <w:docPartUnique/>
      </w:docPartObj>
    </w:sdtPr>
    <w:sdtEndPr>
      <w:rPr>
        <w:rStyle w:val="PageNumber"/>
      </w:rPr>
    </w:sdtEndPr>
    <w:sdtContent>
      <w:p w14:paraId="6F5DCF22" w14:textId="77777777" w:rsidR="00A02588" w:rsidRDefault="00A02588" w:rsidP="00434A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E032E6" w14:textId="77777777" w:rsidR="00A02588" w:rsidRDefault="00A0258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4404271"/>
      <w:docPartObj>
        <w:docPartGallery w:val="Page Numbers (Bottom of Page)"/>
        <w:docPartUnique/>
      </w:docPartObj>
    </w:sdtPr>
    <w:sdtEndPr>
      <w:rPr>
        <w:rStyle w:val="PageNumber"/>
      </w:rPr>
    </w:sdtEndPr>
    <w:sdtContent>
      <w:p w14:paraId="66315F27" w14:textId="77777777" w:rsidR="00A02588" w:rsidRDefault="00A02588" w:rsidP="00A025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B590F">
          <w:rPr>
            <w:rStyle w:val="PageNumber"/>
            <w:noProof/>
          </w:rPr>
          <w:t>11</w:t>
        </w:r>
        <w:r>
          <w:rPr>
            <w:rStyle w:val="PageNumber"/>
          </w:rPr>
          <w:fldChar w:fldCharType="end"/>
        </w:r>
      </w:p>
    </w:sdtContent>
  </w:sdt>
  <w:p w14:paraId="0F1C4652" w14:textId="77777777" w:rsidR="00A02588" w:rsidRDefault="00A025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6512B" w14:textId="77777777" w:rsidR="0084394B" w:rsidRDefault="0084394B">
      <w:r w:rsidRPr="009C2711">
        <w:rPr>
          <w:color w:val="414047"/>
        </w:rPr>
        <w:separator/>
      </w:r>
      <w:r w:rsidRPr="009C2711">
        <w:rPr>
          <w:color w:val="414047"/>
        </w:rPr>
        <w:separator/>
      </w:r>
      <w:r w:rsidRPr="009C2711">
        <w:rPr>
          <w:color w:val="414047"/>
        </w:rPr>
        <w:separator/>
      </w:r>
    </w:p>
  </w:footnote>
  <w:footnote w:type="continuationSeparator" w:id="0">
    <w:p w14:paraId="30B025BB" w14:textId="77777777" w:rsidR="0084394B" w:rsidRDefault="0084394B" w:rsidP="00A83A7A">
      <w:r>
        <w:continuationSeparator/>
      </w:r>
    </w:p>
  </w:footnote>
  <w:footnote w:id="1">
    <w:p w14:paraId="6CEE7B1A" w14:textId="77777777" w:rsidR="00F63181" w:rsidRPr="006013A7" w:rsidRDefault="00F63181" w:rsidP="00F63181">
      <w:pPr>
        <w:pStyle w:val="FootnoteText"/>
        <w:jc w:val="both"/>
      </w:pPr>
      <w:r w:rsidRPr="006013A7">
        <w:rPr>
          <w:rStyle w:val="FootnoteReference"/>
          <w:rFonts w:asciiTheme="minorHAnsi" w:hAnsiTheme="minorHAnsi"/>
          <w:sz w:val="18"/>
        </w:rPr>
        <w:footnoteRef/>
      </w:r>
      <w:r w:rsidRPr="006013A7">
        <w:t xml:space="preserve"> Karp, A. </w:t>
      </w:r>
      <w:hyperlink r:id="rId1" w:history="1">
        <w:r w:rsidRPr="006013A7">
          <w:rPr>
            <w:rStyle w:val="Hyperlink"/>
            <w:rFonts w:asciiTheme="minorHAnsi" w:hAnsiTheme="minorHAnsi"/>
            <w:i/>
            <w:iCs/>
            <w:sz w:val="18"/>
          </w:rPr>
          <w:t>Estimating global civilian-held firearms numbers</w:t>
        </w:r>
      </w:hyperlink>
      <w:r w:rsidRPr="006013A7">
        <w:rPr>
          <w:i/>
          <w:iCs/>
        </w:rPr>
        <w:t>.</w:t>
      </w:r>
      <w:r w:rsidRPr="006013A7">
        <w:t xml:space="preserve"> Geneva, Small Arms Survey, 2018; See also </w:t>
      </w:r>
      <w:proofErr w:type="spellStart"/>
      <w:proofErr w:type="gramStart"/>
      <w:r w:rsidRPr="006013A7">
        <w:t>G.Hideg</w:t>
      </w:r>
      <w:proofErr w:type="spellEnd"/>
      <w:proofErr w:type="gramEnd"/>
      <w:r w:rsidRPr="006013A7">
        <w:t xml:space="preserve">, A. </w:t>
      </w:r>
      <w:proofErr w:type="spellStart"/>
      <w:r w:rsidRPr="006013A7">
        <w:t>Alvazzi</w:t>
      </w:r>
      <w:proofErr w:type="spellEnd"/>
      <w:r w:rsidRPr="006013A7">
        <w:t xml:space="preserve"> del </w:t>
      </w:r>
      <w:proofErr w:type="spellStart"/>
      <w:r w:rsidRPr="006013A7">
        <w:t>Frate</w:t>
      </w:r>
      <w:proofErr w:type="spellEnd"/>
      <w:r w:rsidRPr="006013A7">
        <w:t xml:space="preserve"> </w:t>
      </w:r>
      <w:hyperlink r:id="rId2" w:history="1">
        <w:r w:rsidRPr="006013A7">
          <w:rPr>
            <w:rStyle w:val="Hyperlink"/>
            <w:rFonts w:asciiTheme="minorHAnsi" w:hAnsiTheme="minorHAnsi"/>
            <w:i/>
            <w:iCs/>
            <w:sz w:val="18"/>
          </w:rPr>
          <w:t>Still not there. Global Violent Deaths Scenarios</w:t>
        </w:r>
      </w:hyperlink>
      <w:r w:rsidRPr="006013A7">
        <w:rPr>
          <w:i/>
          <w:iCs/>
        </w:rPr>
        <w:t>, 2019–30.</w:t>
      </w:r>
      <w:r w:rsidRPr="006013A7">
        <w:t xml:space="preserve"> Small Arms Survey, 2021: p. 9; and updated information on stockpiles on the website of the </w:t>
      </w:r>
      <w:hyperlink r:id="rId3" w:history="1">
        <w:r w:rsidRPr="006013A7">
          <w:rPr>
            <w:rStyle w:val="Hyperlink"/>
            <w:rFonts w:asciiTheme="minorHAnsi" w:hAnsiTheme="minorHAnsi"/>
            <w:sz w:val="18"/>
          </w:rPr>
          <w:t>Small Arms Survey.</w:t>
        </w:r>
      </w:hyperlink>
      <w:r w:rsidRPr="006013A7">
        <w:t xml:space="preserve"> </w:t>
      </w:r>
    </w:p>
  </w:footnote>
  <w:footnote w:id="2">
    <w:p w14:paraId="13F58717" w14:textId="77777777" w:rsidR="00F63181" w:rsidRDefault="00F63181" w:rsidP="00F63181">
      <w:pPr>
        <w:pStyle w:val="FootnoteText"/>
        <w:jc w:val="both"/>
      </w:pPr>
      <w:r w:rsidRPr="006013A7">
        <w:rPr>
          <w:rStyle w:val="FootnoteReference"/>
          <w:rFonts w:asciiTheme="minorHAnsi" w:hAnsiTheme="minorHAnsi"/>
          <w:sz w:val="18"/>
        </w:rPr>
        <w:footnoteRef/>
      </w:r>
      <w:r w:rsidRPr="006013A7">
        <w:t xml:space="preserve"> Small Arms Survey. </w:t>
      </w:r>
      <w:hyperlink r:id="rId4" w:history="1">
        <w:r w:rsidRPr="006013A7">
          <w:rPr>
            <w:rStyle w:val="Hyperlink"/>
            <w:rFonts w:asciiTheme="minorHAnsi" w:hAnsiTheme="minorHAnsi"/>
            <w:i/>
            <w:iCs/>
            <w:sz w:val="18"/>
          </w:rPr>
          <w:t>Global Violent Deaths in 2018.</w:t>
        </w:r>
      </w:hyperlink>
    </w:p>
  </w:footnote>
  <w:footnote w:id="3">
    <w:p w14:paraId="35CAAF8B"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 National Shooting Sports Foundation, February 4, 2021. </w:t>
      </w:r>
      <w:hyperlink r:id="rId5" w:history="1">
        <w:r w:rsidRPr="006013A7">
          <w:rPr>
            <w:rStyle w:val="Hyperlink"/>
            <w:rFonts w:asciiTheme="minorHAnsi" w:hAnsiTheme="minorHAnsi"/>
            <w:sz w:val="18"/>
          </w:rPr>
          <w:t>“Gun Sales Reach Record Highs in 2020 Especially Among African Americans and First-Time Gun Buyers”</w:t>
        </w:r>
      </w:hyperlink>
      <w:r w:rsidRPr="006013A7">
        <w:t xml:space="preserve"> and also National Shooting Sports Foundation, </w:t>
      </w:r>
      <w:hyperlink r:id="rId6" w:history="1">
        <w:r w:rsidRPr="006013A7">
          <w:rPr>
            <w:rStyle w:val="Hyperlink"/>
            <w:rFonts w:asciiTheme="minorHAnsi" w:hAnsiTheme="minorHAnsi"/>
            <w:sz w:val="18"/>
          </w:rPr>
          <w:t>“NSSF Retailer Surveys Indicate 5.4 Million First-Time Gun Buyers in 2021,”</w:t>
        </w:r>
      </w:hyperlink>
      <w:r w:rsidRPr="006013A7">
        <w:t xml:space="preserve"> January 25, 2022.</w:t>
      </w:r>
    </w:p>
  </w:footnote>
  <w:footnote w:id="4">
    <w:p w14:paraId="3BBD3AAB"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Simonson et al., February 2021. </w:t>
      </w:r>
      <w:hyperlink r:id="rId7" w:history="1">
        <w:r w:rsidRPr="006013A7">
          <w:rPr>
            <w:rStyle w:val="Hyperlink"/>
            <w:rFonts w:asciiTheme="minorHAnsi" w:hAnsiTheme="minorHAnsi"/>
            <w:i/>
            <w:iCs/>
            <w:sz w:val="18"/>
          </w:rPr>
          <w:t>The COVID States Project: A 50-State COVID-19 Survey.</w:t>
        </w:r>
      </w:hyperlink>
      <w:r w:rsidRPr="006013A7">
        <w:rPr>
          <w:i/>
          <w:iCs/>
        </w:rPr>
        <w:t xml:space="preserve"> Report</w:t>
      </w:r>
      <w:r w:rsidRPr="006013A7">
        <w:t xml:space="preserve"> #37: Gun Purchases During the COVID-19 Pandemic. A joint project of: Northeastern University, Harvard University, Rutgers University, and Northwestern University</w:t>
      </w:r>
    </w:p>
  </w:footnote>
  <w:footnote w:id="5">
    <w:p w14:paraId="65807D6C"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 M </w:t>
      </w:r>
      <w:proofErr w:type="spellStart"/>
      <w:r w:rsidRPr="006013A7">
        <w:t>Kaste</w:t>
      </w:r>
      <w:proofErr w:type="spellEnd"/>
      <w:r w:rsidRPr="006013A7">
        <w:t xml:space="preserve">, </w:t>
      </w:r>
      <w:hyperlink r:id="rId8" w:history="1">
        <w:r w:rsidRPr="006013A7">
          <w:rPr>
            <w:rStyle w:val="Hyperlink"/>
            <w:rFonts w:asciiTheme="minorHAnsi" w:hAnsiTheme="minorHAnsi"/>
            <w:sz w:val="18"/>
          </w:rPr>
          <w:t>“Did Record Gun Sales Cause a Spike in Gun Crime? Researchers Say It’s Complicated.”</w:t>
        </w:r>
      </w:hyperlink>
      <w:r w:rsidRPr="006013A7">
        <w:t xml:space="preserve"> NPR.org, March 3, 2021.</w:t>
      </w:r>
    </w:p>
  </w:footnote>
  <w:footnote w:id="6">
    <w:p w14:paraId="1B8C5256"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 Hepburn, Lisa; </w:t>
      </w:r>
      <w:proofErr w:type="spellStart"/>
      <w:r w:rsidRPr="006013A7">
        <w:t>Hemenway</w:t>
      </w:r>
      <w:proofErr w:type="spellEnd"/>
      <w:r w:rsidRPr="006013A7">
        <w:t xml:space="preserve">, David. </w:t>
      </w:r>
      <w:hyperlink r:id="rId9" w:history="1">
        <w:r w:rsidRPr="006013A7">
          <w:rPr>
            <w:rStyle w:val="Hyperlink"/>
            <w:rFonts w:asciiTheme="minorHAnsi" w:hAnsiTheme="minorHAnsi"/>
            <w:sz w:val="18"/>
          </w:rPr>
          <w:t>“Firearm availability and homicide: A review of the literature</w:t>
        </w:r>
      </w:hyperlink>
      <w:r w:rsidRPr="006013A7">
        <w:t>.” Aggression and Violent Behavior: A Review Journal. 2004; 9: p. 417-40.</w:t>
      </w:r>
    </w:p>
  </w:footnote>
  <w:footnote w:id="7">
    <w:p w14:paraId="25838F6F"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 A.A. Braga; E. Griffiths; K. Sheppard; and S. Douglas: </w:t>
      </w:r>
      <w:hyperlink r:id="rId10" w:history="1">
        <w:r w:rsidRPr="006013A7">
          <w:rPr>
            <w:rStyle w:val="Hyperlink"/>
            <w:rFonts w:asciiTheme="minorHAnsi" w:hAnsiTheme="minorHAnsi"/>
            <w:sz w:val="18"/>
          </w:rPr>
          <w:t>“Firearm instrumentality: do guns make violent situations more lethal,” in</w:t>
        </w:r>
      </w:hyperlink>
      <w:r w:rsidRPr="006013A7">
        <w:t xml:space="preserve"> Annual Review of Criminology, Vol. 4 (2021) pp. 147-164.</w:t>
      </w:r>
    </w:p>
  </w:footnote>
  <w:footnote w:id="8">
    <w:p w14:paraId="41E694E6" w14:textId="77777777" w:rsidR="005D3F21" w:rsidRPr="006013A7" w:rsidRDefault="005D3F21" w:rsidP="005D3F21">
      <w:pPr>
        <w:pStyle w:val="FootnoteText"/>
        <w:rPr>
          <w:lang w:val="en-GB"/>
        </w:rPr>
      </w:pPr>
      <w:r w:rsidRPr="006013A7">
        <w:rPr>
          <w:rStyle w:val="FootnoteReference"/>
          <w:rFonts w:asciiTheme="minorHAnsi" w:hAnsiTheme="minorHAnsi"/>
          <w:color w:val="auto"/>
          <w:sz w:val="18"/>
        </w:rPr>
        <w:footnoteRef/>
      </w:r>
      <w:r w:rsidRPr="006013A7">
        <w:t xml:space="preserve"> United Nations Institute for Disarmament Research, </w:t>
      </w:r>
      <w:hyperlink r:id="rId11" w:history="1">
        <w:r w:rsidRPr="006013A7">
          <w:rPr>
            <w:rStyle w:val="Hyperlink"/>
            <w:rFonts w:asciiTheme="minorHAnsi" w:hAnsiTheme="minorHAnsi"/>
            <w:i/>
            <w:iCs/>
            <w:sz w:val="18"/>
          </w:rPr>
          <w:t>Connecting the Dots: Arms Control, Disarmament and the Women Peace and Security Agenda</w:t>
        </w:r>
      </w:hyperlink>
      <w:r w:rsidRPr="006013A7">
        <w:t>. Geneva,</w:t>
      </w:r>
      <w:r w:rsidRPr="006013A7" w:rsidDel="003172B6">
        <w:t xml:space="preserve"> </w:t>
      </w:r>
      <w:r w:rsidRPr="006013A7">
        <w:t xml:space="preserve">2020; J.C. Campbell; D. Webster; J. </w:t>
      </w:r>
      <w:proofErr w:type="spellStart"/>
      <w:r w:rsidRPr="006013A7">
        <w:t>Koziol</w:t>
      </w:r>
      <w:proofErr w:type="spellEnd"/>
      <w:r w:rsidRPr="006013A7">
        <w:t>-McLain; and C. Block: “</w:t>
      </w:r>
      <w:hyperlink r:id="rId12" w:history="1">
        <w:r w:rsidRPr="006013A7">
          <w:rPr>
            <w:rStyle w:val="Hyperlink"/>
            <w:rFonts w:asciiTheme="minorHAnsi" w:hAnsiTheme="minorHAnsi"/>
            <w:sz w:val="18"/>
          </w:rPr>
          <w:t xml:space="preserve">Risk factors for </w:t>
        </w:r>
        <w:proofErr w:type="spellStart"/>
        <w:r w:rsidRPr="006013A7">
          <w:rPr>
            <w:rStyle w:val="Hyperlink"/>
            <w:rFonts w:asciiTheme="minorHAnsi" w:hAnsiTheme="minorHAnsi"/>
            <w:sz w:val="18"/>
          </w:rPr>
          <w:t>femicide</w:t>
        </w:r>
        <w:proofErr w:type="spellEnd"/>
        <w:r w:rsidRPr="006013A7">
          <w:rPr>
            <w:rStyle w:val="Hyperlink"/>
            <w:rFonts w:asciiTheme="minorHAnsi" w:hAnsiTheme="minorHAnsi"/>
            <w:sz w:val="18"/>
          </w:rPr>
          <w:t xml:space="preserve"> in abusive relationships</w:t>
        </w:r>
      </w:hyperlink>
      <w:r w:rsidRPr="006013A7">
        <w:t>,” in American Journal of Public Health, July 2003.</w:t>
      </w:r>
      <w:r w:rsidRPr="006013A7">
        <w:rPr>
          <w:lang w:val="en-GB"/>
        </w:rPr>
        <w:t xml:space="preserve"> </w:t>
      </w:r>
    </w:p>
  </w:footnote>
  <w:footnote w:id="9">
    <w:p w14:paraId="301BDB1F"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 S Weiner</w:t>
      </w:r>
      <w:hyperlink r:id="rId13" w:history="1">
        <w:r w:rsidRPr="006013A7">
          <w:rPr>
            <w:rStyle w:val="Hyperlink"/>
            <w:rFonts w:asciiTheme="minorHAnsi" w:hAnsiTheme="minorHAnsi"/>
            <w:sz w:val="18"/>
          </w:rPr>
          <w:t>, ‘Gun Culture is Gender Politics’</w:t>
        </w:r>
      </w:hyperlink>
      <w:r w:rsidRPr="006013A7">
        <w:t xml:space="preserve"> Women in International Security Blog, 16 October 2017.</w:t>
      </w:r>
    </w:p>
  </w:footnote>
  <w:footnote w:id="10">
    <w:p w14:paraId="37B1F0CE" w14:textId="77777777" w:rsidR="005D3F21" w:rsidRPr="006013A7" w:rsidRDefault="005D3F21" w:rsidP="005D3F21">
      <w:pPr>
        <w:pStyle w:val="FootnoteText"/>
        <w:jc w:val="both"/>
      </w:pPr>
      <w:r w:rsidRPr="006013A7">
        <w:rPr>
          <w:rStyle w:val="FootnoteReference"/>
          <w:rFonts w:asciiTheme="minorHAnsi" w:hAnsiTheme="minorHAnsi"/>
          <w:sz w:val="18"/>
        </w:rPr>
        <w:footnoteRef/>
      </w:r>
      <w:r w:rsidRPr="006013A7">
        <w:t xml:space="preserve"> United Nations Human Rights Council, Situation of human rights in Yemen, including violations and abuses since September 2014. Report of the Group of Eminent International and Regional Experts, UN Doc. A/HRC/48/20, 13 September 2021; also see the previous three reports of this UN Group of experts. For a global survey see S. </w:t>
      </w:r>
      <w:proofErr w:type="spellStart"/>
      <w:r w:rsidRPr="006013A7">
        <w:t>Sivakumaran</w:t>
      </w:r>
      <w:proofErr w:type="spellEnd"/>
      <w:r w:rsidRPr="006013A7">
        <w:t xml:space="preserve">, </w:t>
      </w:r>
      <w:hyperlink r:id="rId14" w:history="1">
        <w:r w:rsidRPr="006013A7">
          <w:rPr>
            <w:rStyle w:val="Hyperlink"/>
            <w:rFonts w:asciiTheme="minorHAnsi" w:hAnsiTheme="minorHAnsi"/>
            <w:i/>
            <w:iCs/>
            <w:sz w:val="18"/>
          </w:rPr>
          <w:t>Violence Against Men in Armed Conflict,</w:t>
        </w:r>
      </w:hyperlink>
      <w:r w:rsidRPr="006013A7">
        <w:t xml:space="preserve"> </w:t>
      </w:r>
      <w:r w:rsidRPr="006013A7">
        <w:rPr>
          <w:i/>
          <w:iCs/>
        </w:rPr>
        <w:t>European Journal of International Law</w:t>
      </w:r>
      <w:r w:rsidRPr="006013A7">
        <w:t xml:space="preserve"> </w:t>
      </w:r>
      <w:proofErr w:type="spellStart"/>
      <w:r w:rsidRPr="006013A7">
        <w:t>vol</w:t>
      </w:r>
      <w:proofErr w:type="spellEnd"/>
      <w:r w:rsidRPr="006013A7">
        <w:t xml:space="preserve"> 18 2017</w:t>
      </w:r>
    </w:p>
  </w:footnote>
  <w:footnote w:id="11">
    <w:p w14:paraId="3E26EB69" w14:textId="77777777" w:rsidR="005D3F21" w:rsidRPr="006013A7" w:rsidRDefault="005D3F21" w:rsidP="005D3F21">
      <w:pPr>
        <w:rPr>
          <w:rFonts w:asciiTheme="minorHAnsi" w:hAnsiTheme="minorHAnsi"/>
          <w:sz w:val="18"/>
          <w:szCs w:val="18"/>
          <w:lang w:val="en-GB"/>
        </w:rPr>
      </w:pPr>
      <w:r w:rsidRPr="006013A7">
        <w:rPr>
          <w:rStyle w:val="FootnoteReference"/>
          <w:rFonts w:asciiTheme="minorHAnsi" w:hAnsiTheme="minorHAnsi"/>
          <w:color w:val="auto"/>
          <w:sz w:val="18"/>
          <w:szCs w:val="18"/>
        </w:rPr>
        <w:footnoteRef/>
      </w:r>
      <w:r w:rsidRPr="006013A7">
        <w:rPr>
          <w:rFonts w:asciiTheme="minorHAnsi" w:hAnsiTheme="minorHAnsi"/>
          <w:sz w:val="18"/>
          <w:szCs w:val="18"/>
        </w:rPr>
        <w:t xml:space="preserve"> The literature is discussed in AR </w:t>
      </w:r>
      <w:proofErr w:type="spellStart"/>
      <w:r w:rsidRPr="006013A7">
        <w:rPr>
          <w:rFonts w:asciiTheme="minorHAnsi" w:hAnsiTheme="minorHAnsi"/>
          <w:sz w:val="18"/>
          <w:szCs w:val="18"/>
        </w:rPr>
        <w:t>Piquero</w:t>
      </w:r>
      <w:proofErr w:type="spellEnd"/>
      <w:r w:rsidRPr="006013A7">
        <w:rPr>
          <w:rFonts w:asciiTheme="minorHAnsi" w:hAnsiTheme="minorHAnsi"/>
          <w:sz w:val="18"/>
          <w:szCs w:val="18"/>
        </w:rPr>
        <w:t xml:space="preserve">, WG Jennings, E Jemison, C </w:t>
      </w:r>
      <w:proofErr w:type="spellStart"/>
      <w:r w:rsidRPr="006013A7">
        <w:rPr>
          <w:rFonts w:asciiTheme="minorHAnsi" w:hAnsiTheme="minorHAnsi"/>
          <w:sz w:val="18"/>
          <w:szCs w:val="18"/>
        </w:rPr>
        <w:t>Kaukinen</w:t>
      </w:r>
      <w:proofErr w:type="spellEnd"/>
      <w:r w:rsidRPr="006013A7">
        <w:rPr>
          <w:rFonts w:asciiTheme="minorHAnsi" w:hAnsiTheme="minorHAnsi"/>
          <w:sz w:val="18"/>
          <w:szCs w:val="18"/>
        </w:rPr>
        <w:t>, FM Knaul, “</w:t>
      </w:r>
      <w:hyperlink r:id="rId15" w:history="1">
        <w:r w:rsidRPr="006013A7">
          <w:rPr>
            <w:rStyle w:val="Hyperlink"/>
            <w:rFonts w:asciiTheme="minorHAnsi" w:hAnsiTheme="minorHAnsi"/>
            <w:sz w:val="18"/>
            <w:szCs w:val="18"/>
          </w:rPr>
          <w:t>Domestic violence during the COVID-19 pandemic - Evidence from a systematic review and meta-analysis</w:t>
        </w:r>
      </w:hyperlink>
      <w:r w:rsidRPr="006013A7">
        <w:rPr>
          <w:rFonts w:asciiTheme="minorHAnsi" w:hAnsiTheme="minorHAnsi"/>
          <w:sz w:val="18"/>
          <w:szCs w:val="18"/>
        </w:rPr>
        <w:t xml:space="preserve">,” </w:t>
      </w:r>
      <w:r w:rsidRPr="006013A7">
        <w:rPr>
          <w:rFonts w:asciiTheme="minorHAnsi" w:hAnsiTheme="minorHAnsi"/>
          <w:i/>
          <w:iCs/>
          <w:sz w:val="18"/>
          <w:szCs w:val="18"/>
        </w:rPr>
        <w:t>Journal of Criminal Justice Vol 74,</w:t>
      </w:r>
      <w:r w:rsidRPr="006013A7">
        <w:rPr>
          <w:rFonts w:asciiTheme="minorHAnsi" w:hAnsiTheme="minorHAnsi"/>
          <w:sz w:val="18"/>
          <w:szCs w:val="18"/>
        </w:rPr>
        <w:t xml:space="preserve"> May-June 2021. </w:t>
      </w:r>
    </w:p>
  </w:footnote>
  <w:footnote w:id="12">
    <w:p w14:paraId="16919031" w14:textId="77777777" w:rsidR="00D134CC" w:rsidRPr="006013A7" w:rsidRDefault="00D134CC" w:rsidP="00D134CC">
      <w:pPr>
        <w:pStyle w:val="FootnoteText"/>
        <w:jc w:val="both"/>
      </w:pPr>
      <w:r w:rsidRPr="006013A7">
        <w:rPr>
          <w:rStyle w:val="FootnoteReference"/>
          <w:rFonts w:asciiTheme="minorHAnsi" w:hAnsiTheme="minorHAnsi"/>
          <w:sz w:val="18"/>
        </w:rPr>
        <w:footnoteRef/>
      </w:r>
      <w:r w:rsidRPr="006013A7">
        <w:t xml:space="preserve">  Small Arms Survey, </w:t>
      </w:r>
      <w:hyperlink r:id="rId16" w:history="1">
        <w:r w:rsidRPr="006013A7">
          <w:rPr>
            <w:rStyle w:val="Hyperlink"/>
            <w:rFonts w:asciiTheme="minorHAnsi" w:hAnsiTheme="minorHAnsi"/>
            <w:sz w:val="18"/>
          </w:rPr>
          <w:t>Producers of Small Arms, Light Weapons and their Ammunition,</w:t>
        </w:r>
      </w:hyperlink>
      <w:r w:rsidRPr="006013A7">
        <w:t xml:space="preserve"> Research Note 43, July </w:t>
      </w:r>
      <w:proofErr w:type="gramStart"/>
      <w:r w:rsidRPr="006013A7">
        <w:t>2014 ;</w:t>
      </w:r>
      <w:proofErr w:type="gramEnd"/>
    </w:p>
    <w:p w14:paraId="695555CE" w14:textId="77777777" w:rsidR="00D134CC" w:rsidRPr="006013A7" w:rsidRDefault="00D134CC" w:rsidP="00D134CC">
      <w:pPr>
        <w:pStyle w:val="FootnoteText"/>
        <w:jc w:val="both"/>
      </w:pPr>
      <w:r w:rsidRPr="006013A7">
        <w:t>and United Nations Office for Disarmament Affairs,</w:t>
      </w:r>
      <w:hyperlink r:id="rId17" w:history="1">
        <w:r w:rsidRPr="006013A7">
          <w:rPr>
            <w:rStyle w:val="Hyperlink"/>
            <w:rFonts w:asciiTheme="minorHAnsi" w:hAnsiTheme="minorHAnsi"/>
            <w:sz w:val="18"/>
          </w:rPr>
          <w:t xml:space="preserve"> Short Course on Small Arms and Light Weapons</w:t>
        </w:r>
      </w:hyperlink>
      <w:r w:rsidRPr="006013A7">
        <w:t>, accessed May 2022.</w:t>
      </w:r>
    </w:p>
  </w:footnote>
  <w:footnote w:id="13">
    <w:p w14:paraId="09C9ADE9" w14:textId="7C767688" w:rsidR="00D134CC" w:rsidRPr="006013A7" w:rsidRDefault="00D134CC" w:rsidP="00D134CC">
      <w:pPr>
        <w:pStyle w:val="FootnoteText"/>
        <w:jc w:val="both"/>
      </w:pPr>
      <w:r w:rsidRPr="006013A7">
        <w:rPr>
          <w:rStyle w:val="FootnoteReference"/>
          <w:rFonts w:asciiTheme="minorHAnsi" w:hAnsiTheme="minorHAnsi"/>
          <w:sz w:val="18"/>
        </w:rPr>
        <w:footnoteRef/>
      </w:r>
      <w:r w:rsidRPr="006013A7">
        <w:t xml:space="preserve">  Small Arms Survey, </w:t>
      </w:r>
      <w:hyperlink r:id="rId18" w:history="1">
        <w:r w:rsidRPr="006013A7">
          <w:rPr>
            <w:rStyle w:val="Hyperlink"/>
            <w:rFonts w:asciiTheme="minorHAnsi" w:hAnsiTheme="minorHAnsi"/>
            <w:sz w:val="18"/>
          </w:rPr>
          <w:t>Producers of Small arms, light weapons and their ammunition</w:t>
        </w:r>
      </w:hyperlink>
      <w:r w:rsidR="006013A7" w:rsidRPr="006013A7">
        <w:t>, Research note 43, 2014.</w:t>
      </w:r>
    </w:p>
  </w:footnote>
  <w:footnote w:id="14">
    <w:p w14:paraId="3DCC35F7" w14:textId="77777777" w:rsidR="00511611" w:rsidRPr="006013A7" w:rsidRDefault="00511611" w:rsidP="00511611">
      <w:pPr>
        <w:pStyle w:val="FootnoteText"/>
        <w:jc w:val="both"/>
      </w:pPr>
      <w:r w:rsidRPr="006013A7">
        <w:rPr>
          <w:rStyle w:val="FootnoteReference"/>
          <w:rFonts w:asciiTheme="minorHAnsi" w:hAnsiTheme="minorHAnsi"/>
          <w:sz w:val="18"/>
        </w:rPr>
        <w:footnoteRef/>
      </w:r>
      <w:r w:rsidRPr="006013A7">
        <w:t xml:space="preserve">  United Nations Office on Drugs and Crime, </w:t>
      </w:r>
      <w:hyperlink r:id="rId19" w:history="1">
        <w:r w:rsidRPr="006013A7">
          <w:rPr>
            <w:rStyle w:val="Hyperlink"/>
            <w:rFonts w:asciiTheme="minorHAnsi" w:hAnsiTheme="minorHAnsi"/>
            <w:i/>
            <w:iCs/>
            <w:sz w:val="18"/>
          </w:rPr>
          <w:t>The Illicit Market in Firearms</w:t>
        </w:r>
      </w:hyperlink>
      <w:r w:rsidRPr="006013A7">
        <w:rPr>
          <w:i/>
          <w:iCs/>
        </w:rPr>
        <w:t>,</w:t>
      </w:r>
      <w:r w:rsidRPr="006013A7">
        <w:t xml:space="preserve"> 2019.</w:t>
      </w:r>
    </w:p>
  </w:footnote>
  <w:footnote w:id="15">
    <w:p w14:paraId="5E3F1953" w14:textId="77777777" w:rsidR="00511611" w:rsidRPr="006013A7" w:rsidRDefault="00511611" w:rsidP="00511611">
      <w:pPr>
        <w:pStyle w:val="FootnoteText"/>
        <w:jc w:val="both"/>
        <w:rPr>
          <w:i/>
          <w:iCs/>
        </w:rPr>
      </w:pPr>
      <w:r w:rsidRPr="006013A7">
        <w:rPr>
          <w:rStyle w:val="FootnoteReference"/>
          <w:rFonts w:asciiTheme="minorHAnsi" w:hAnsiTheme="minorHAnsi"/>
          <w:sz w:val="18"/>
        </w:rPr>
        <w:footnoteRef/>
      </w:r>
      <w:r w:rsidRPr="006013A7">
        <w:t xml:space="preserve">  United Nations Institute for Disarmament Research, </w:t>
      </w:r>
      <w:hyperlink r:id="rId20" w:history="1">
        <w:r w:rsidRPr="006013A7">
          <w:rPr>
            <w:rStyle w:val="Hyperlink"/>
            <w:rFonts w:asciiTheme="minorHAnsi" w:hAnsiTheme="minorHAnsi"/>
            <w:i/>
            <w:iCs/>
            <w:sz w:val="18"/>
          </w:rPr>
          <w:t>Arms Trade Treaty Issue Brief 3: Diversion Analysis Framework.</w:t>
        </w:r>
      </w:hyperlink>
    </w:p>
  </w:footnote>
  <w:footnote w:id="16">
    <w:p w14:paraId="35BB61C4" w14:textId="67AE3198" w:rsidR="00511611" w:rsidRPr="006013A7" w:rsidRDefault="00511611" w:rsidP="00511611">
      <w:pPr>
        <w:pStyle w:val="FootnoteText"/>
        <w:jc w:val="both"/>
      </w:pPr>
      <w:r w:rsidRPr="006013A7">
        <w:rPr>
          <w:rStyle w:val="FootnoteReference"/>
          <w:rFonts w:asciiTheme="minorHAnsi" w:hAnsiTheme="minorHAnsi"/>
          <w:sz w:val="18"/>
        </w:rPr>
        <w:footnoteRef/>
      </w:r>
      <w:r w:rsidRPr="006013A7">
        <w:t xml:space="preserve">  See for example, Transparency International, </w:t>
      </w:r>
      <w:hyperlink r:id="rId21" w:history="1">
        <w:proofErr w:type="spellStart"/>
        <w:r w:rsidRPr="006013A7">
          <w:rPr>
            <w:rStyle w:val="Hyperlink"/>
            <w:rFonts w:asciiTheme="minorHAnsi" w:hAnsiTheme="minorHAnsi"/>
            <w:i/>
            <w:iCs/>
            <w:sz w:val="18"/>
          </w:rPr>
          <w:t>Defence</w:t>
        </w:r>
        <w:proofErr w:type="spellEnd"/>
        <w:r w:rsidRPr="006013A7">
          <w:rPr>
            <w:rStyle w:val="Hyperlink"/>
            <w:rFonts w:asciiTheme="minorHAnsi" w:hAnsiTheme="minorHAnsi"/>
            <w:i/>
            <w:iCs/>
            <w:sz w:val="18"/>
          </w:rPr>
          <w:t xml:space="preserve"> and Security Integrity Index 2021.</w:t>
        </w:r>
      </w:hyperlink>
    </w:p>
  </w:footnote>
  <w:footnote w:id="17">
    <w:p w14:paraId="4D81FC7F" w14:textId="77777777" w:rsidR="00511611" w:rsidRPr="006013A7" w:rsidRDefault="00511611" w:rsidP="00511611">
      <w:pPr>
        <w:pStyle w:val="FootnoteText"/>
        <w:jc w:val="both"/>
      </w:pPr>
      <w:r w:rsidRPr="006013A7">
        <w:rPr>
          <w:rStyle w:val="FootnoteReference"/>
          <w:rFonts w:asciiTheme="minorHAnsi" w:hAnsiTheme="minorHAnsi"/>
          <w:sz w:val="18"/>
        </w:rPr>
        <w:footnoteRef/>
      </w:r>
      <w:r w:rsidRPr="006013A7">
        <w:t xml:space="preserve"> United Nations Office on Drugs and Crime, </w:t>
      </w:r>
      <w:hyperlink r:id="rId22" w:history="1">
        <w:r w:rsidRPr="006013A7">
          <w:rPr>
            <w:rStyle w:val="Hyperlink"/>
            <w:rFonts w:asciiTheme="minorHAnsi" w:hAnsiTheme="minorHAnsi"/>
            <w:i/>
            <w:iCs/>
            <w:sz w:val="18"/>
          </w:rPr>
          <w:t>Global Study on Firearms Trafficking 2020</w:t>
        </w:r>
      </w:hyperlink>
      <w:r w:rsidRPr="006013A7">
        <w:t>, Vienna</w:t>
      </w:r>
    </w:p>
  </w:footnote>
  <w:footnote w:id="18">
    <w:p w14:paraId="2A2479D8" w14:textId="77777777" w:rsidR="00511611" w:rsidRDefault="00511611" w:rsidP="00511611">
      <w:pPr>
        <w:pStyle w:val="FootnoteText"/>
        <w:jc w:val="both"/>
      </w:pPr>
      <w:r w:rsidRPr="006013A7">
        <w:rPr>
          <w:rStyle w:val="FootnoteReference"/>
          <w:rFonts w:asciiTheme="minorHAnsi" w:hAnsiTheme="minorHAnsi"/>
          <w:sz w:val="18"/>
        </w:rPr>
        <w:footnoteRef/>
      </w:r>
      <w:r w:rsidRPr="006013A7">
        <w:t xml:space="preserve"> United Nations Office on Drugs and Crime, </w:t>
      </w:r>
      <w:hyperlink r:id="rId23" w:history="1">
        <w:r w:rsidRPr="006013A7">
          <w:rPr>
            <w:rStyle w:val="Hyperlink"/>
            <w:rFonts w:asciiTheme="minorHAnsi" w:hAnsiTheme="minorHAnsi"/>
            <w:sz w:val="18"/>
          </w:rPr>
          <w:t>Conventional Terrorist Weapons</w:t>
        </w:r>
      </w:hyperlink>
      <w:r w:rsidRPr="006013A7">
        <w:t xml:space="preserve">, undated; International Civil Aviation Organization (ICAO), </w:t>
      </w:r>
      <w:proofErr w:type="spellStart"/>
      <w:r w:rsidRPr="006013A7">
        <w:t>ICAO</w:t>
      </w:r>
      <w:proofErr w:type="spellEnd"/>
      <w:r w:rsidRPr="006013A7">
        <w:t xml:space="preserve"> Assembly resolution A35-11, </w:t>
      </w:r>
      <w:hyperlink r:id="rId24" w:history="1">
        <w:r w:rsidRPr="006013A7">
          <w:rPr>
            <w:rStyle w:val="Hyperlink"/>
            <w:rFonts w:asciiTheme="minorHAnsi" w:hAnsiTheme="minorHAnsi"/>
            <w:sz w:val="18"/>
          </w:rPr>
          <w:t xml:space="preserve">Threat to civil aviation posed by man-portable air </w:t>
        </w:r>
        <w:proofErr w:type="spellStart"/>
        <w:r w:rsidRPr="006013A7">
          <w:rPr>
            <w:rStyle w:val="Hyperlink"/>
            <w:rFonts w:asciiTheme="minorHAnsi" w:hAnsiTheme="minorHAnsi"/>
            <w:sz w:val="18"/>
          </w:rPr>
          <w:t>defence</w:t>
        </w:r>
        <w:proofErr w:type="spellEnd"/>
        <w:r w:rsidRPr="006013A7">
          <w:rPr>
            <w:rStyle w:val="Hyperlink"/>
            <w:rFonts w:asciiTheme="minorHAnsi" w:hAnsiTheme="minorHAnsi"/>
            <w:sz w:val="18"/>
          </w:rPr>
          <w:t xml:space="preserve"> systems (MANPADS).</w:t>
        </w:r>
      </w:hyperlink>
      <w:r w:rsidRPr="006013A7">
        <w:cr/>
      </w:r>
    </w:p>
  </w:footnote>
  <w:footnote w:id="19">
    <w:p w14:paraId="589EBCB1"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Small Arms Survey, </w:t>
      </w:r>
      <w:hyperlink r:id="rId25" w:history="1">
        <w:r w:rsidRPr="006013A7">
          <w:rPr>
            <w:rStyle w:val="Hyperlink"/>
            <w:rFonts w:asciiTheme="minorHAnsi" w:hAnsiTheme="minorHAnsi"/>
            <w:i/>
            <w:iCs/>
            <w:sz w:val="18"/>
          </w:rPr>
          <w:t>Taking stock of action on the illicit small arms trade: Small Arms Survey 2020 online forum</w:t>
        </w:r>
      </w:hyperlink>
      <w:r w:rsidRPr="006013A7">
        <w:t>, June 2020.</w:t>
      </w:r>
    </w:p>
  </w:footnote>
  <w:footnote w:id="20">
    <w:p w14:paraId="63625CC8" w14:textId="20B18D88" w:rsidR="006849E0" w:rsidRPr="006013A7" w:rsidRDefault="006849E0" w:rsidP="006849E0">
      <w:pPr>
        <w:pStyle w:val="FootnoteText"/>
        <w:jc w:val="both"/>
      </w:pPr>
      <w:r w:rsidRPr="006013A7">
        <w:rPr>
          <w:rStyle w:val="FootnoteReference"/>
          <w:rFonts w:asciiTheme="minorHAnsi" w:hAnsiTheme="minorHAnsi"/>
          <w:sz w:val="18"/>
        </w:rPr>
        <w:footnoteRef/>
      </w:r>
      <w:r w:rsidR="006013A7">
        <w:t xml:space="preserve"> </w:t>
      </w:r>
      <w:r w:rsidRPr="006013A7">
        <w:t xml:space="preserve">T </w:t>
      </w:r>
      <w:proofErr w:type="spellStart"/>
      <w:r w:rsidRPr="006013A7">
        <w:t>Pettersson</w:t>
      </w:r>
      <w:proofErr w:type="spellEnd"/>
      <w:r w:rsidRPr="006013A7">
        <w:t xml:space="preserve">, Therese; M </w:t>
      </w:r>
      <w:proofErr w:type="spellStart"/>
      <w:r w:rsidRPr="006013A7">
        <w:t>Öberg</w:t>
      </w:r>
      <w:proofErr w:type="spellEnd"/>
      <w:r w:rsidRPr="006013A7">
        <w:t xml:space="preserve">, </w:t>
      </w:r>
      <w:hyperlink r:id="rId26" w:history="1">
        <w:r w:rsidRPr="006013A7">
          <w:rPr>
            <w:rStyle w:val="Hyperlink"/>
            <w:rFonts w:asciiTheme="minorHAnsi" w:hAnsiTheme="minorHAnsi"/>
            <w:i/>
            <w:iCs/>
            <w:sz w:val="18"/>
          </w:rPr>
          <w:t>Organized violence, 1989–2019 Journal of Peace Research,</w:t>
        </w:r>
      </w:hyperlink>
      <w:r w:rsidRPr="006013A7">
        <w:t xml:space="preserve"> 57(4), 2020; and see </w:t>
      </w:r>
      <w:hyperlink r:id="rId27" w:history="1">
        <w:r w:rsidRPr="006013A7">
          <w:rPr>
            <w:rStyle w:val="Hyperlink"/>
            <w:rFonts w:asciiTheme="minorHAnsi" w:hAnsiTheme="minorHAnsi"/>
            <w:sz w:val="18"/>
          </w:rPr>
          <w:t>Uppsala Conflict Data Program.</w:t>
        </w:r>
      </w:hyperlink>
    </w:p>
  </w:footnote>
  <w:footnote w:id="21">
    <w:p w14:paraId="4F8E5B1C"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Small Arms Survey, </w:t>
      </w:r>
      <w:hyperlink r:id="rId28" w:history="1">
        <w:r w:rsidRPr="006013A7">
          <w:rPr>
            <w:rStyle w:val="Hyperlink"/>
            <w:rFonts w:asciiTheme="minorHAnsi" w:hAnsiTheme="minorHAnsi"/>
            <w:i/>
            <w:iCs/>
            <w:sz w:val="18"/>
          </w:rPr>
          <w:t>Non-Conflict Armed Violence.</w:t>
        </w:r>
      </w:hyperlink>
    </w:p>
  </w:footnote>
  <w:footnote w:id="22">
    <w:p w14:paraId="16FEF720"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Crimes summarized from the Article 7 of Rome Statute of the International Criminal Court.</w:t>
      </w:r>
    </w:p>
  </w:footnote>
  <w:footnote w:id="23">
    <w:p w14:paraId="49C8002D"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An “organized criminal group” is a “structured group of three or more persons, existing for a period of time and acting in concert with the aim of committing one or more serious crimes” and in order to gain some financial benefit. United Nations Convention on Transnational Organized Crime, adopted in the General Assembly by resolution A/RES/55/25 of 15 November 2000, and which entered into force on 29 September 2003. The Convention has 190 States Parties.</w:t>
      </w:r>
    </w:p>
  </w:footnote>
  <w:footnote w:id="24">
    <w:p w14:paraId="18BB890E"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w:t>
      </w:r>
      <w:hyperlink r:id="rId29" w:history="1">
        <w:r w:rsidRPr="006013A7">
          <w:rPr>
            <w:rStyle w:val="Hyperlink"/>
            <w:rFonts w:asciiTheme="minorHAnsi" w:hAnsiTheme="minorHAnsi"/>
            <w:sz w:val="18"/>
          </w:rPr>
          <w:t>The United Nations Security Council Counter-Terrorism Committee</w:t>
        </w:r>
      </w:hyperlink>
      <w:r w:rsidRPr="006013A7">
        <w:t xml:space="preserve"> (2018); also see General Assembly Resolutions A/RES/74/177 adopted 27 January 2020 and A/RES/67/193 adopted 23 April 2013; see also Security Council resolutions 2220(2015), 2322 (2016), 2370 (2017) and 2482 (2019) which referred to the links between terrorism and organized crime, including trafficking in arms, explosives and related materials.</w:t>
      </w:r>
    </w:p>
  </w:footnote>
  <w:footnote w:id="25">
    <w:p w14:paraId="2EEDF045" w14:textId="77777777" w:rsidR="006849E0" w:rsidRPr="006013A7" w:rsidRDefault="006849E0" w:rsidP="006849E0">
      <w:pPr>
        <w:pStyle w:val="FootnoteText"/>
      </w:pPr>
      <w:r w:rsidRPr="006013A7">
        <w:rPr>
          <w:rStyle w:val="FootnoteReference"/>
          <w:rFonts w:asciiTheme="minorHAnsi" w:hAnsiTheme="minorHAnsi"/>
          <w:sz w:val="18"/>
        </w:rPr>
        <w:footnoteRef/>
      </w:r>
      <w:r w:rsidRPr="006013A7">
        <w:t xml:space="preserve"> United Nations Human Rights Council, </w:t>
      </w:r>
      <w:hyperlink r:id="rId30" w:history="1">
        <w:r w:rsidRPr="006013A7">
          <w:rPr>
            <w:rStyle w:val="Hyperlink"/>
            <w:rFonts w:asciiTheme="minorHAnsi" w:hAnsiTheme="minorHAnsi"/>
            <w:i/>
            <w:iCs/>
            <w:sz w:val="18"/>
          </w:rPr>
          <w:t>Report of the Special Rapporteur on extrajudicial, summary or arbitrary executions</w:t>
        </w:r>
      </w:hyperlink>
      <w:r w:rsidRPr="006013A7">
        <w:t>, A/HRC/47/33, 7 June 2021.</w:t>
      </w:r>
    </w:p>
  </w:footnote>
  <w:footnote w:id="26">
    <w:p w14:paraId="792741A8"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B Wood; G McDonald, </w:t>
      </w:r>
      <w:hyperlink r:id="rId31" w:history="1">
        <w:r w:rsidRPr="006013A7">
          <w:rPr>
            <w:rStyle w:val="Hyperlink"/>
            <w:rFonts w:asciiTheme="minorHAnsi" w:hAnsiTheme="minorHAnsi"/>
            <w:i/>
            <w:iCs/>
            <w:sz w:val="18"/>
          </w:rPr>
          <w:t>Critical Triggers Implementing International Standards for Police Firearms Use,</w:t>
        </w:r>
      </w:hyperlink>
      <w:r w:rsidRPr="006013A7">
        <w:t xml:space="preserve"> Chapter 7 in Small Arms Survey 2004: Rights at Risk (chapter 7), Oxford University Press, 2004.</w:t>
      </w:r>
    </w:p>
  </w:footnote>
  <w:footnote w:id="27">
    <w:p w14:paraId="025CA722"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Amnesty International, </w:t>
      </w:r>
      <w:hyperlink r:id="rId32" w:history="1">
        <w:r w:rsidRPr="006013A7">
          <w:rPr>
            <w:rStyle w:val="Hyperlink"/>
            <w:rFonts w:asciiTheme="minorHAnsi" w:hAnsiTheme="minorHAnsi"/>
            <w:i/>
            <w:iCs/>
            <w:sz w:val="18"/>
          </w:rPr>
          <w:t>Covid-19 Crackdowns: Police Abuse and The Global Pandemic</w:t>
        </w:r>
      </w:hyperlink>
      <w:r w:rsidRPr="006013A7">
        <w:t>, 2020.</w:t>
      </w:r>
    </w:p>
  </w:footnote>
  <w:footnote w:id="28">
    <w:p w14:paraId="37846944"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Ibid. p 4. </w:t>
      </w:r>
    </w:p>
  </w:footnote>
  <w:footnote w:id="29">
    <w:p w14:paraId="278BC082"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The Alliance for Child Protection in Humanitarian Action, End Violence Against Children, UNICEF, WHO, </w:t>
      </w:r>
      <w:hyperlink r:id="rId33" w:history="1">
        <w:r w:rsidRPr="006013A7">
          <w:rPr>
            <w:rStyle w:val="Hyperlink"/>
            <w:rFonts w:asciiTheme="minorHAnsi" w:hAnsiTheme="minorHAnsi"/>
            <w:i/>
            <w:iCs/>
            <w:sz w:val="18"/>
          </w:rPr>
          <w:t>COVID-19: Protecting Children from Violence, Abuse and Neglect in the Home, Version 1</w:t>
        </w:r>
      </w:hyperlink>
      <w:r w:rsidRPr="006013A7">
        <w:t>, May 2020.</w:t>
      </w:r>
    </w:p>
  </w:footnote>
  <w:footnote w:id="30">
    <w:p w14:paraId="6EBD442F" w14:textId="77777777" w:rsidR="006849E0" w:rsidRPr="006013A7" w:rsidRDefault="006849E0" w:rsidP="006849E0">
      <w:pPr>
        <w:pStyle w:val="FootnoteText"/>
        <w:jc w:val="both"/>
      </w:pPr>
      <w:r w:rsidRPr="006013A7">
        <w:rPr>
          <w:rStyle w:val="FootnoteReference"/>
          <w:rFonts w:asciiTheme="minorHAnsi" w:hAnsiTheme="minorHAnsi"/>
          <w:sz w:val="18"/>
        </w:rPr>
        <w:footnoteRef/>
      </w:r>
      <w:r w:rsidRPr="006013A7">
        <w:t xml:space="preserve"> B.F. Walter, </w:t>
      </w:r>
      <w:hyperlink r:id="rId34" w:history="1">
        <w:r w:rsidRPr="006013A7">
          <w:rPr>
            <w:rStyle w:val="Hyperlink"/>
            <w:rFonts w:asciiTheme="minorHAnsi" w:hAnsiTheme="minorHAnsi"/>
            <w:i/>
            <w:iCs/>
            <w:sz w:val="18"/>
          </w:rPr>
          <w:t>Conflict Relapse and the Sustainability of Post-Conflict Peace</w:t>
        </w:r>
      </w:hyperlink>
      <w:r w:rsidRPr="006013A7">
        <w:t>, Washington, DC: World Bank, 2010.</w:t>
      </w:r>
    </w:p>
  </w:footnote>
  <w:footnote w:id="31">
    <w:p w14:paraId="77639D53" w14:textId="77777777" w:rsidR="007B2F23" w:rsidRPr="00DB590F" w:rsidRDefault="007B2F23" w:rsidP="007B2F23">
      <w:pPr>
        <w:pStyle w:val="FootnoteText"/>
        <w:jc w:val="both"/>
      </w:pPr>
      <w:r w:rsidRPr="00DB590F">
        <w:rPr>
          <w:rStyle w:val="FootnoteReference"/>
          <w:rFonts w:asciiTheme="minorHAnsi" w:hAnsiTheme="minorHAnsi"/>
          <w:sz w:val="18"/>
        </w:rPr>
        <w:footnoteRef/>
      </w:r>
      <w:r w:rsidRPr="00DB590F">
        <w:t xml:space="preserve"> J </w:t>
      </w:r>
      <w:proofErr w:type="spellStart"/>
      <w:r w:rsidRPr="00DB590F">
        <w:t>Brehm</w:t>
      </w:r>
      <w:proofErr w:type="spellEnd"/>
      <w:r w:rsidRPr="00DB590F">
        <w:t xml:space="preserve">, </w:t>
      </w:r>
      <w:hyperlink r:id="rId35" w:history="1">
        <w:r w:rsidRPr="00DB590F">
          <w:rPr>
            <w:rStyle w:val="Hyperlink"/>
            <w:rFonts w:asciiTheme="minorHAnsi" w:hAnsiTheme="minorHAnsi"/>
            <w:i/>
            <w:iCs/>
            <w:sz w:val="18"/>
          </w:rPr>
          <w:t>Global Peace Operations Review</w:t>
        </w:r>
      </w:hyperlink>
      <w:r w:rsidRPr="00DB590F">
        <w:t xml:space="preserve">, 15 June 2018; See also </w:t>
      </w:r>
      <w:hyperlink r:id="rId36" w:history="1">
        <w:r w:rsidRPr="00DB590F">
          <w:rPr>
            <w:rStyle w:val="Hyperlink"/>
            <w:rFonts w:asciiTheme="minorHAnsi" w:hAnsiTheme="minorHAnsi"/>
            <w:sz w:val="18"/>
          </w:rPr>
          <w:t>United Nations Department of Peace Operations.</w:t>
        </w:r>
      </w:hyperlink>
    </w:p>
  </w:footnote>
  <w:footnote w:id="32">
    <w:p w14:paraId="43976B58" w14:textId="77777777" w:rsidR="007B2F23" w:rsidRPr="00DB590F" w:rsidRDefault="007B2F23" w:rsidP="007B2F23">
      <w:pPr>
        <w:pStyle w:val="FootnoteText"/>
        <w:jc w:val="both"/>
      </w:pPr>
      <w:r w:rsidRPr="00DB590F">
        <w:rPr>
          <w:rStyle w:val="FootnoteReference"/>
          <w:rFonts w:asciiTheme="minorHAnsi" w:hAnsiTheme="minorHAnsi"/>
          <w:sz w:val="18"/>
        </w:rPr>
        <w:footnoteRef/>
      </w:r>
      <w:r w:rsidRPr="00DB590F">
        <w:t xml:space="preserve"> United Nations Security Council, </w:t>
      </w:r>
      <w:hyperlink r:id="rId37" w:history="1">
        <w:r w:rsidRPr="00DB590F">
          <w:rPr>
            <w:rStyle w:val="Hyperlink"/>
            <w:rFonts w:asciiTheme="minorHAnsi" w:hAnsiTheme="minorHAnsi"/>
            <w:sz w:val="18"/>
          </w:rPr>
          <w:t>“Spread of 1 Billion Small Arms, Light Weapons Remains Major Threat Worldwide, High Representative for Disarmament Affairs Tells Security Council”,</w:t>
        </w:r>
      </w:hyperlink>
      <w:r w:rsidRPr="00DB590F">
        <w:t xml:space="preserve"> SC/14098, 5 February 2020.</w:t>
      </w:r>
    </w:p>
  </w:footnote>
  <w:footnote w:id="33">
    <w:p w14:paraId="4AE6352E" w14:textId="6E71BFCD" w:rsidR="007B2F23" w:rsidRPr="00DB590F" w:rsidRDefault="007B2F23" w:rsidP="007B2F23">
      <w:pPr>
        <w:pStyle w:val="FootnoteText"/>
        <w:jc w:val="both"/>
      </w:pPr>
      <w:r w:rsidRPr="00DB590F">
        <w:rPr>
          <w:rStyle w:val="FootnoteReference"/>
          <w:rFonts w:asciiTheme="minorHAnsi" w:hAnsiTheme="minorHAnsi"/>
          <w:sz w:val="18"/>
        </w:rPr>
        <w:footnoteRef/>
      </w:r>
      <w:r w:rsidRPr="00DB590F">
        <w:t xml:space="preserve"> United Nations General Assembly, </w:t>
      </w:r>
      <w:hyperlink r:id="rId38" w:history="1">
        <w:r w:rsidRPr="00DB590F">
          <w:rPr>
            <w:rStyle w:val="Hyperlink"/>
            <w:rFonts w:asciiTheme="minorHAnsi" w:hAnsiTheme="minorHAnsi"/>
            <w:sz w:val="18"/>
          </w:rPr>
          <w:t>Transforming our world: the 2030 Agenda for Sustainable Development.</w:t>
        </w:r>
      </w:hyperlink>
    </w:p>
  </w:footnote>
  <w:footnote w:id="34">
    <w:p w14:paraId="7C93083D" w14:textId="77777777" w:rsidR="007B2F23" w:rsidRPr="00DB590F" w:rsidRDefault="007B2F23" w:rsidP="007B2F23">
      <w:pPr>
        <w:pStyle w:val="FootnoteText"/>
        <w:jc w:val="both"/>
      </w:pPr>
      <w:r w:rsidRPr="00DB590F">
        <w:rPr>
          <w:rStyle w:val="FootnoteReference"/>
          <w:rFonts w:asciiTheme="minorHAnsi" w:hAnsiTheme="minorHAnsi"/>
          <w:sz w:val="18"/>
        </w:rPr>
        <w:footnoteRef/>
      </w:r>
      <w:r w:rsidRPr="00DB590F">
        <w:t xml:space="preserve"> Pathfinders for Peaceful, Just and Inclusive Societies, </w:t>
      </w:r>
      <w:hyperlink r:id="rId39" w:history="1">
        <w:r w:rsidRPr="00DB590F">
          <w:rPr>
            <w:rStyle w:val="Hyperlink"/>
            <w:rFonts w:asciiTheme="minorHAnsi" w:hAnsiTheme="minorHAnsi"/>
            <w:i/>
            <w:iCs/>
            <w:sz w:val="18"/>
          </w:rPr>
          <w:t>Gender Responsive Small Arms Control in the Decade of Action for the SDGs,</w:t>
        </w:r>
      </w:hyperlink>
      <w:r w:rsidRPr="00DB590F">
        <w:rPr>
          <w:i/>
          <w:iCs/>
        </w:rPr>
        <w:t xml:space="preserve"> </w:t>
      </w:r>
      <w:r w:rsidRPr="00DB590F">
        <w:t>New York: Center on International Cooperation, 2020.</w:t>
      </w:r>
    </w:p>
  </w:footnote>
  <w:footnote w:id="35">
    <w:p w14:paraId="5CE13F26" w14:textId="77777777" w:rsidR="00163AF1" w:rsidRDefault="00163AF1" w:rsidP="00163AF1">
      <w:pPr>
        <w:pStyle w:val="FootnoteText"/>
        <w:jc w:val="both"/>
      </w:pPr>
      <w:r w:rsidRPr="00DB590F">
        <w:rPr>
          <w:rStyle w:val="FootnoteReference"/>
          <w:rFonts w:asciiTheme="minorHAnsi" w:hAnsiTheme="minorHAnsi"/>
          <w:sz w:val="18"/>
        </w:rPr>
        <w:footnoteRef/>
      </w:r>
      <w:r w:rsidRPr="00DB590F">
        <w:t xml:space="preserve"> Reliable data on the destruction of health infrastructure is collected by the World Health </w:t>
      </w:r>
      <w:proofErr w:type="spellStart"/>
      <w:r w:rsidRPr="00DB590F">
        <w:t>Organisation</w:t>
      </w:r>
      <w:proofErr w:type="spellEnd"/>
      <w:r w:rsidRPr="00DB590F">
        <w:t xml:space="preserve"> (WHO) through the Surveillance System of Attacks on Healthcare. Safeguarding Health in Conflict Coalition (SHCC). </w:t>
      </w:r>
      <w:hyperlink r:id="rId40" w:history="1">
        <w:r w:rsidRPr="00DB590F">
          <w:rPr>
            <w:rStyle w:val="Hyperlink"/>
            <w:rFonts w:asciiTheme="minorHAnsi" w:hAnsiTheme="minorHAnsi"/>
            <w:sz w:val="18"/>
          </w:rPr>
          <w:t>The Safeguarding Health in Conflict(SHCC)</w:t>
        </w:r>
      </w:hyperlink>
      <w:r w:rsidRPr="00DB590F">
        <w:t xml:space="preserve"> coalition is a group of international nongovernmental organizations working to protect health workers, services, and infrastructure.</w:t>
      </w:r>
      <w:r w:rsidRPr="00DB590F">
        <w:cr/>
      </w:r>
    </w:p>
  </w:footnote>
  <w:footnote w:id="36">
    <w:p w14:paraId="48407E4E" w14:textId="77777777" w:rsidR="00163AF1" w:rsidRPr="00DB590F" w:rsidRDefault="00163AF1" w:rsidP="00163AF1">
      <w:pPr>
        <w:pStyle w:val="FootnoteText"/>
        <w:jc w:val="both"/>
      </w:pPr>
      <w:r w:rsidRPr="00DB590F">
        <w:rPr>
          <w:rStyle w:val="FootnoteReference"/>
          <w:rFonts w:asciiTheme="minorHAnsi" w:hAnsiTheme="minorHAnsi"/>
          <w:sz w:val="18"/>
        </w:rPr>
        <w:footnoteRef/>
      </w:r>
      <w:r w:rsidRPr="00DB590F">
        <w:t xml:space="preserve"> Article 36 Briefings, </w:t>
      </w:r>
      <w:hyperlink r:id="rId41" w:history="1">
        <w:r w:rsidRPr="00DB590F">
          <w:rPr>
            <w:rStyle w:val="Hyperlink"/>
            <w:rFonts w:asciiTheme="minorHAnsi" w:hAnsiTheme="minorHAnsi"/>
            <w:sz w:val="18"/>
          </w:rPr>
          <w:t>Health and harm: Protecting civilians and protecting health; Education and conflict: Protecting civilians and protecting education; and Global Coalition to Protect Education from Attack (GCPEA).</w:t>
        </w:r>
      </w:hyperlink>
      <w:r w:rsidRPr="00DB590F">
        <w:t xml:space="preserve"> GCPEA is a unique inter-agency coalition formed in 2010 to address the problem of targeted attacks on education during armed conflict. The political engagement is focused on the </w:t>
      </w:r>
      <w:hyperlink r:id="rId42" w:history="1">
        <w:r w:rsidRPr="00DB590F">
          <w:rPr>
            <w:rStyle w:val="Hyperlink"/>
            <w:rFonts w:asciiTheme="minorHAnsi" w:hAnsiTheme="minorHAnsi"/>
            <w:sz w:val="18"/>
          </w:rPr>
          <w:t>Safe School’s Declaration.</w:t>
        </w:r>
      </w:hyperlink>
      <w:r w:rsidRPr="00DB590F">
        <w:t xml:space="preserve"> GCPEA’s monitoring includes attacks on schools, universities, teachers, and students.</w:t>
      </w:r>
    </w:p>
  </w:footnote>
  <w:footnote w:id="37">
    <w:p w14:paraId="7CEC4E13" w14:textId="77777777" w:rsidR="00163AF1" w:rsidRPr="00DB590F" w:rsidRDefault="00163AF1" w:rsidP="00163AF1">
      <w:pPr>
        <w:pStyle w:val="FootnoteText"/>
        <w:jc w:val="both"/>
      </w:pPr>
      <w:r w:rsidRPr="00DB590F">
        <w:rPr>
          <w:rStyle w:val="FootnoteReference"/>
          <w:rFonts w:asciiTheme="minorHAnsi" w:hAnsiTheme="minorHAnsi"/>
          <w:sz w:val="18"/>
        </w:rPr>
        <w:footnoteRef/>
      </w:r>
      <w:r w:rsidRPr="00DB590F">
        <w:t xml:space="preserve"> United Nations Secretary General, </w:t>
      </w:r>
      <w:hyperlink r:id="rId43" w:history="1">
        <w:r w:rsidRPr="00DB590F">
          <w:rPr>
            <w:rStyle w:val="Hyperlink"/>
            <w:rFonts w:asciiTheme="minorHAnsi" w:hAnsiTheme="minorHAnsi"/>
            <w:sz w:val="18"/>
          </w:rPr>
          <w:t>Conflict-related sexual violence</w:t>
        </w:r>
      </w:hyperlink>
      <w:r w:rsidRPr="00DB590F">
        <w:t>, Report of the Secretary-General, S/2021/312, 30 March 2021.</w:t>
      </w:r>
    </w:p>
  </w:footnote>
  <w:footnote w:id="38">
    <w:p w14:paraId="107C20DF" w14:textId="273AC9BC" w:rsidR="00163AF1" w:rsidRPr="00DB590F" w:rsidRDefault="00163AF1" w:rsidP="00163AF1">
      <w:pPr>
        <w:pStyle w:val="FootnoteText"/>
        <w:jc w:val="both"/>
      </w:pPr>
      <w:r w:rsidRPr="00DB590F">
        <w:rPr>
          <w:rStyle w:val="FootnoteReference"/>
          <w:rFonts w:asciiTheme="minorHAnsi" w:hAnsiTheme="minorHAnsi"/>
          <w:sz w:val="18"/>
        </w:rPr>
        <w:footnoteRef/>
      </w:r>
      <w:r w:rsidRPr="00DB590F">
        <w:t xml:space="preserve"> J.C. Campbell; D. Webster; J. </w:t>
      </w:r>
      <w:proofErr w:type="spellStart"/>
      <w:r w:rsidRPr="00DB590F">
        <w:t>Koziol</w:t>
      </w:r>
      <w:proofErr w:type="spellEnd"/>
      <w:r w:rsidRPr="00DB590F">
        <w:t xml:space="preserve">-McLain; and C. Block, </w:t>
      </w:r>
      <w:hyperlink r:id="rId44" w:history="1">
        <w:r w:rsidRPr="00DB590F">
          <w:rPr>
            <w:rStyle w:val="Hyperlink"/>
            <w:rFonts w:asciiTheme="minorHAnsi" w:hAnsiTheme="minorHAnsi"/>
            <w:sz w:val="18"/>
          </w:rPr>
          <w:t xml:space="preserve">“Risk factors for </w:t>
        </w:r>
        <w:proofErr w:type="spellStart"/>
        <w:r w:rsidRPr="00DB590F">
          <w:rPr>
            <w:rStyle w:val="Hyperlink"/>
            <w:rFonts w:asciiTheme="minorHAnsi" w:hAnsiTheme="minorHAnsi"/>
            <w:sz w:val="18"/>
          </w:rPr>
          <w:t>femicide</w:t>
        </w:r>
        <w:proofErr w:type="spellEnd"/>
        <w:r w:rsidRPr="00DB590F">
          <w:rPr>
            <w:rStyle w:val="Hyperlink"/>
            <w:rFonts w:asciiTheme="minorHAnsi" w:hAnsiTheme="minorHAnsi"/>
            <w:sz w:val="18"/>
          </w:rPr>
          <w:t xml:space="preserve"> in abusive relationships,”</w:t>
        </w:r>
      </w:hyperlink>
      <w:r w:rsidRPr="00DB590F">
        <w:t xml:space="preserve"> in </w:t>
      </w:r>
      <w:r w:rsidRPr="00DB590F">
        <w:rPr>
          <w:i/>
          <w:iCs/>
        </w:rPr>
        <w:t xml:space="preserve">American Journal of Public Health, </w:t>
      </w:r>
      <w:r w:rsidRPr="00DB590F">
        <w:t xml:space="preserve">July 2003; UN Office on Drugs and Crime, </w:t>
      </w:r>
      <w:hyperlink r:id="rId45" w:history="1">
        <w:r w:rsidRPr="00DB590F">
          <w:rPr>
            <w:rStyle w:val="Hyperlink"/>
            <w:rFonts w:asciiTheme="minorHAnsi" w:hAnsiTheme="minorHAnsi"/>
            <w:i/>
            <w:iCs/>
            <w:sz w:val="18"/>
          </w:rPr>
          <w:t>Global Study on Homicide: Gender-related killing of women and girls,</w:t>
        </w:r>
      </w:hyperlink>
      <w:r w:rsidRPr="00DB590F">
        <w:rPr>
          <w:i/>
          <w:iCs/>
        </w:rPr>
        <w:t xml:space="preserve"> </w:t>
      </w:r>
      <w:r w:rsidR="00DB590F" w:rsidRPr="00DB590F">
        <w:t>Vienna, 2018.</w:t>
      </w:r>
    </w:p>
  </w:footnote>
  <w:footnote w:id="39">
    <w:p w14:paraId="0505C922" w14:textId="77777777" w:rsidR="00163AF1" w:rsidRPr="00DB590F" w:rsidRDefault="00163AF1" w:rsidP="00163AF1">
      <w:pPr>
        <w:pStyle w:val="FootnoteText"/>
        <w:jc w:val="both"/>
      </w:pPr>
      <w:r w:rsidRPr="00DB590F">
        <w:rPr>
          <w:rStyle w:val="FootnoteReference"/>
          <w:rFonts w:asciiTheme="minorHAnsi" w:hAnsiTheme="minorHAnsi"/>
          <w:sz w:val="18"/>
        </w:rPr>
        <w:footnoteRef/>
      </w:r>
      <w:r w:rsidRPr="00DB590F">
        <w:t xml:space="preserve"> UN Women, </w:t>
      </w:r>
      <w:hyperlink r:id="rId46" w:history="1">
        <w:r w:rsidRPr="00DB590F">
          <w:rPr>
            <w:rStyle w:val="Hyperlink"/>
            <w:rFonts w:asciiTheme="minorHAnsi" w:hAnsiTheme="minorHAnsi"/>
            <w:sz w:val="18"/>
          </w:rPr>
          <w:t>“The Shadow Pandemic: Violence against women during COVID-19</w:t>
        </w:r>
      </w:hyperlink>
      <w:r w:rsidRPr="00DB590F">
        <w:t>,” 2020.</w:t>
      </w:r>
    </w:p>
  </w:footnote>
  <w:footnote w:id="40">
    <w:p w14:paraId="2ADEB626" w14:textId="1559FE2D" w:rsidR="00FE53F9" w:rsidRPr="00DB590F" w:rsidRDefault="00FE53F9" w:rsidP="00FE53F9">
      <w:pPr>
        <w:pStyle w:val="FootnoteText"/>
        <w:jc w:val="both"/>
      </w:pPr>
      <w:r w:rsidRPr="00DB590F">
        <w:rPr>
          <w:rStyle w:val="FootnoteReference"/>
          <w:rFonts w:asciiTheme="minorHAnsi" w:hAnsiTheme="minorHAnsi"/>
          <w:sz w:val="18"/>
        </w:rPr>
        <w:footnoteRef/>
      </w:r>
      <w:r w:rsidRPr="00DB590F">
        <w:t xml:space="preserve"> J Masters, </w:t>
      </w:r>
      <w:hyperlink r:id="rId47" w:history="1">
        <w:r w:rsidRPr="00DB590F">
          <w:rPr>
            <w:rStyle w:val="Hyperlink"/>
            <w:rFonts w:asciiTheme="minorHAnsi" w:hAnsiTheme="minorHAnsi"/>
            <w:i/>
            <w:iCs/>
            <w:sz w:val="18"/>
          </w:rPr>
          <w:t>U.S. Gun Policy: Global Comparisons</w:t>
        </w:r>
      </w:hyperlink>
      <w:r w:rsidRPr="00DB590F">
        <w:t xml:space="preserve">, Council of Foreign Relations, last updated 14 July 2021; World Population Review, </w:t>
      </w:r>
      <w:hyperlink r:id="rId48" w:history="1">
        <w:r w:rsidRPr="00DB590F">
          <w:rPr>
            <w:rStyle w:val="Hyperlink"/>
            <w:rFonts w:asciiTheme="minorHAnsi" w:hAnsiTheme="minorHAnsi"/>
            <w:sz w:val="18"/>
          </w:rPr>
          <w:t>Gun Ownership by Country 2022.</w:t>
        </w:r>
      </w:hyperlink>
    </w:p>
  </w:footnote>
  <w:footnote w:id="41">
    <w:p w14:paraId="1CEFDD0D" w14:textId="77777777" w:rsidR="000B3E04" w:rsidRPr="00DB590F" w:rsidRDefault="000B3E04" w:rsidP="000B3E04">
      <w:pPr>
        <w:pStyle w:val="FootnoteText"/>
        <w:jc w:val="both"/>
      </w:pPr>
      <w:r w:rsidRPr="00DB590F">
        <w:rPr>
          <w:rStyle w:val="FootnoteReference"/>
          <w:rFonts w:asciiTheme="minorHAnsi" w:hAnsiTheme="minorHAnsi"/>
          <w:sz w:val="18"/>
        </w:rPr>
        <w:footnoteRef/>
      </w:r>
      <w:r w:rsidRPr="00DB590F">
        <w:t>United Nations Charter, 1945, see especially Articles 2(4) and 51.</w:t>
      </w:r>
    </w:p>
  </w:footnote>
  <w:footnote w:id="42">
    <w:p w14:paraId="39000A19" w14:textId="77777777" w:rsidR="000B3E04" w:rsidRPr="00DB590F" w:rsidRDefault="000B3E04" w:rsidP="000B3E04">
      <w:pPr>
        <w:pStyle w:val="FootnoteText"/>
        <w:jc w:val="both"/>
      </w:pPr>
      <w:r w:rsidRPr="00DB590F">
        <w:rPr>
          <w:rStyle w:val="FootnoteReference"/>
          <w:rFonts w:asciiTheme="minorHAnsi" w:hAnsiTheme="minorHAnsi"/>
          <w:sz w:val="18"/>
        </w:rPr>
        <w:footnoteRef/>
      </w:r>
      <w:r w:rsidRPr="00DB590F">
        <w:t xml:space="preserve"> Article 41 confers upon the Security Council the power to call for a "complete or partial interruption of economic relations […] and the severance of diplomatic relations" in response to a threat to or breach of the peace or an act of aggression.</w:t>
      </w:r>
    </w:p>
  </w:footnote>
  <w:footnote w:id="43">
    <w:p w14:paraId="03F3759A" w14:textId="77777777" w:rsidR="000B3E04" w:rsidRPr="00DB590F" w:rsidRDefault="000B3E04" w:rsidP="000B3E04">
      <w:pPr>
        <w:pStyle w:val="FootnoteText"/>
      </w:pPr>
      <w:r w:rsidRPr="00DB590F">
        <w:rPr>
          <w:rStyle w:val="FootnoteReference"/>
          <w:rFonts w:asciiTheme="minorHAnsi" w:hAnsiTheme="minorHAnsi"/>
          <w:sz w:val="18"/>
        </w:rPr>
        <w:footnoteRef/>
      </w:r>
      <w:r w:rsidRPr="00DB590F">
        <w:t xml:space="preserve"> International Committee of the Red Cross, </w:t>
      </w:r>
      <w:hyperlink r:id="rId49" w:history="1">
        <w:r w:rsidRPr="00DB590F">
          <w:rPr>
            <w:rStyle w:val="Hyperlink"/>
            <w:rFonts w:asciiTheme="minorHAnsi" w:hAnsiTheme="minorHAnsi"/>
            <w:i/>
            <w:iCs/>
            <w:sz w:val="18"/>
          </w:rPr>
          <w:t>Introduction to IHL e-learning</w:t>
        </w:r>
      </w:hyperlink>
      <w:r w:rsidRPr="00DB590F">
        <w:t xml:space="preserve"> (available in English, French and Spanish)</w:t>
      </w:r>
    </w:p>
  </w:footnote>
  <w:footnote w:id="44">
    <w:p w14:paraId="163A2522" w14:textId="77777777" w:rsidR="000B3E04" w:rsidRDefault="000B3E04" w:rsidP="000B3E04">
      <w:pPr>
        <w:pStyle w:val="FootnoteText"/>
        <w:jc w:val="both"/>
      </w:pPr>
      <w:r w:rsidRPr="00DB590F">
        <w:rPr>
          <w:rStyle w:val="FootnoteReference"/>
          <w:rFonts w:asciiTheme="minorHAnsi" w:hAnsiTheme="minorHAnsi"/>
          <w:sz w:val="18"/>
        </w:rPr>
        <w:footnoteRef/>
      </w:r>
      <w:r w:rsidRPr="00DB590F">
        <w:t xml:space="preserve">Article 1 of the Code of Conduct defines the term “law enforcement officials” to include all officers of the law, whether appointed or elected, who exercise police powers, especially the powers of arrest or detention, and the official commentary notes that “In countries where police powers are exercised by military authorities, whether uniformed or not, or by State security forces, the definition of law enforcement officials shall be regarded as including officers of such services.” </w:t>
      </w:r>
      <w:hyperlink r:id="rId50" w:history="1">
        <w:r w:rsidRPr="00DB590F">
          <w:rPr>
            <w:rStyle w:val="Hyperlink"/>
            <w:rFonts w:asciiTheme="minorHAnsi" w:hAnsiTheme="minorHAnsi"/>
            <w:sz w:val="18"/>
          </w:rPr>
          <w:t>Code of Conduct for Law Enforcement Officials.</w:t>
        </w:r>
      </w:hyperlink>
      <w:r w:rsidRPr="00DB590F">
        <w:t xml:space="preserve"> Adopted by General Assembly resolution 34/169 of 17 December 1979. </w:t>
      </w:r>
      <w:hyperlink r:id="rId51" w:history="1">
        <w:r w:rsidRPr="00DB590F">
          <w:rPr>
            <w:rStyle w:val="Hyperlink"/>
            <w:rFonts w:asciiTheme="minorHAnsi" w:hAnsiTheme="minorHAnsi"/>
            <w:sz w:val="18"/>
          </w:rPr>
          <w:t>UN Basic Principles on the Use of Force and Firearms by Law Enforcement Officials.</w:t>
        </w:r>
      </w:hyperlink>
      <w:r w:rsidRPr="00DB590F">
        <w:t xml:space="preserve"> Adopted by the Eighth United Nations Congress on the Prevention of Crime and the Treatment of Offenders, Havana, Cuba, 27 August to 7 September 1990.</w:t>
      </w:r>
    </w:p>
  </w:footnote>
  <w:footnote w:id="45">
    <w:p w14:paraId="740B87CB" w14:textId="77777777" w:rsidR="000B3E04" w:rsidRPr="00DB590F" w:rsidRDefault="000B3E04" w:rsidP="000B3E04">
      <w:pPr>
        <w:pStyle w:val="FootnoteText"/>
        <w:jc w:val="both"/>
      </w:pPr>
      <w:r w:rsidRPr="00DB590F">
        <w:rPr>
          <w:rStyle w:val="FootnoteReference"/>
          <w:rFonts w:asciiTheme="minorHAnsi" w:hAnsiTheme="minorHAnsi"/>
          <w:sz w:val="18"/>
        </w:rPr>
        <w:footnoteRef/>
      </w:r>
      <w:r w:rsidRPr="00DB590F">
        <w:t xml:space="preserve"> International Peace Information Service, </w:t>
      </w:r>
      <w:hyperlink r:id="rId52" w:history="1">
        <w:r w:rsidRPr="00DB590F">
          <w:rPr>
            <w:rStyle w:val="Hyperlink"/>
            <w:rFonts w:asciiTheme="minorHAnsi" w:hAnsiTheme="minorHAnsi"/>
            <w:i/>
            <w:iCs/>
            <w:sz w:val="18"/>
          </w:rPr>
          <w:t>E-Learning: The Arms Trade Treaty,</w:t>
        </w:r>
      </w:hyperlink>
      <w:r w:rsidRPr="00DB590F">
        <w:t xml:space="preserve"> 2017. For legal commentaries on all the provisions of the Arms Trade Treaty, see C da Silva and B Wood, </w:t>
      </w:r>
      <w:hyperlink r:id="rId53" w:history="1">
        <w:r w:rsidRPr="00DB590F">
          <w:rPr>
            <w:rStyle w:val="Hyperlink"/>
            <w:rFonts w:asciiTheme="minorHAnsi" w:hAnsiTheme="minorHAnsi"/>
            <w:i/>
            <w:iCs/>
            <w:sz w:val="18"/>
          </w:rPr>
          <w:t>The Arms Trade Treaty: Weapons and International Law</w:t>
        </w:r>
      </w:hyperlink>
      <w:r w:rsidRPr="00DB590F">
        <w:t xml:space="preserve">, Cambridge, </w:t>
      </w:r>
      <w:proofErr w:type="spellStart"/>
      <w:r w:rsidRPr="00DB590F">
        <w:t>Intersentia</w:t>
      </w:r>
      <w:proofErr w:type="spellEnd"/>
      <w:r w:rsidRPr="00DB590F">
        <w:t>, 2021.</w:t>
      </w:r>
    </w:p>
  </w:footnote>
  <w:footnote w:id="46">
    <w:p w14:paraId="7F15C5B7" w14:textId="77777777" w:rsidR="000B3E04" w:rsidRPr="00DB590F" w:rsidRDefault="000B3E04" w:rsidP="000B3E04">
      <w:pPr>
        <w:pStyle w:val="FootnoteText"/>
        <w:jc w:val="both"/>
      </w:pPr>
      <w:r w:rsidRPr="00DB590F">
        <w:rPr>
          <w:rStyle w:val="FootnoteReference"/>
          <w:rFonts w:asciiTheme="minorHAnsi" w:hAnsiTheme="minorHAnsi"/>
          <w:sz w:val="18"/>
        </w:rPr>
        <w:footnoteRef/>
      </w:r>
      <w:r w:rsidRPr="00DB590F">
        <w:t xml:space="preserve"> In addition to the developments at the international level, considerable work has been done at the regional and sub-regional levels in developing geographically specific controls on SALW, firearms, military technology and equipment, and explosives.</w:t>
      </w:r>
    </w:p>
  </w:footnote>
  <w:footnote w:id="47">
    <w:p w14:paraId="65C9FC0A" w14:textId="60856CA5" w:rsidR="00A02588" w:rsidRPr="00DB590F" w:rsidRDefault="00A02588" w:rsidP="00735F26">
      <w:pPr>
        <w:pStyle w:val="FootnoteText"/>
        <w:rPr>
          <w:lang w:val="en-GB"/>
        </w:rPr>
      </w:pPr>
      <w:r w:rsidRPr="00DB590F">
        <w:rPr>
          <w:rStyle w:val="FootnoteReference"/>
          <w:rFonts w:asciiTheme="minorHAnsi" w:hAnsiTheme="minorHAnsi"/>
          <w:color w:val="auto"/>
          <w:sz w:val="18"/>
        </w:rPr>
        <w:footnoteRef/>
      </w:r>
      <w:r w:rsidRPr="00DB590F">
        <w:t xml:space="preserve"> </w:t>
      </w:r>
      <w:r w:rsidRPr="00DB590F">
        <w:rPr>
          <w:lang w:val="en-GB"/>
        </w:rPr>
        <w:t>See also: IANSA Ten Goals to Prevent the Diversion of Small Arms and Light Weapons, May 2022</w:t>
      </w:r>
      <w:r w:rsidR="001B63A1" w:rsidRPr="00DB590F">
        <w:rPr>
          <w:lang w:val="en-GB"/>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82205196"/>
      <w:docPartObj>
        <w:docPartGallery w:val="Page Numbers (Top of Page)"/>
        <w:docPartUnique/>
      </w:docPartObj>
    </w:sdtPr>
    <w:sdtEndPr>
      <w:rPr>
        <w:rStyle w:val="PageNumber"/>
      </w:rPr>
    </w:sdtEndPr>
    <w:sdtContent>
      <w:p w14:paraId="55C298D4" w14:textId="77777777" w:rsidR="00A02588" w:rsidRDefault="00A02588" w:rsidP="00434AF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6DF235" w14:textId="77777777" w:rsidR="00A02588" w:rsidRDefault="00A0258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BE7EB" w14:textId="54FD045B" w:rsidR="00A02588" w:rsidRDefault="00A02588" w:rsidP="00EE4EBE">
    <w:pPr>
      <w:pStyle w:val="Header"/>
      <w:tabs>
        <w:tab w:val="right" w:pos="4513"/>
      </w:tabs>
      <w:jc w:val="right"/>
      <w:rPr>
        <w:rFonts w:ascii="Poppins" w:hAnsi="Poppins" w:cs="Poppins"/>
        <w:b/>
        <w:bCs/>
        <w:sz w:val="14"/>
        <w:szCs w:val="14"/>
      </w:rPr>
    </w:pPr>
    <w:r w:rsidRPr="00EE4EBE">
      <w:rPr>
        <w:rFonts w:ascii="Poppins" w:hAnsi="Poppins" w:cs="Poppins"/>
        <w:b/>
        <w:bCs/>
        <w:sz w:val="14"/>
        <w:szCs w:val="14"/>
      </w:rPr>
      <w:tab/>
    </w:r>
  </w:p>
  <w:p w14:paraId="6F7CDFE2" w14:textId="665547BC" w:rsidR="00A02588" w:rsidRDefault="00A02588" w:rsidP="00EE4EBE">
    <w:pPr>
      <w:pStyle w:val="Header"/>
      <w:tabs>
        <w:tab w:val="right" w:pos="4513"/>
      </w:tabs>
      <w:jc w:val="right"/>
      <w:rPr>
        <w:rFonts w:ascii="Poppins" w:hAnsi="Poppins" w:cs="Poppins"/>
        <w:b/>
        <w:bCs/>
        <w:sz w:val="14"/>
        <w:szCs w:val="14"/>
      </w:rPr>
    </w:pPr>
    <w:r>
      <w:rPr>
        <w:noProof/>
      </w:rPr>
      <w:drawing>
        <wp:anchor distT="0" distB="0" distL="114300" distR="114300" simplePos="0" relativeHeight="251658240" behindDoc="1" locked="0" layoutInCell="1" allowOverlap="1" wp14:anchorId="6DA6337A" wp14:editId="1C11B992">
          <wp:simplePos x="0" y="0"/>
          <wp:positionH relativeFrom="column">
            <wp:posOffset>32385</wp:posOffset>
          </wp:positionH>
          <wp:positionV relativeFrom="paragraph">
            <wp:posOffset>127544</wp:posOffset>
          </wp:positionV>
          <wp:extent cx="1522730" cy="254000"/>
          <wp:effectExtent l="0" t="0" r="1270" b="0"/>
          <wp:wrapNone/>
          <wp:docPr id="13" name="Picture 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NSA_SmallSpace.png"/>
                  <pic:cNvPicPr/>
                </pic:nvPicPr>
                <pic:blipFill>
                  <a:blip r:embed="rId1">
                    <a:extLst>
                      <a:ext uri="{28A0092B-C50C-407E-A947-70E740481C1C}">
                        <a14:useLocalDpi xmlns:a14="http://schemas.microsoft.com/office/drawing/2010/main" val="0"/>
                      </a:ext>
                    </a:extLst>
                  </a:blip>
                  <a:stretch>
                    <a:fillRect/>
                  </a:stretch>
                </pic:blipFill>
                <pic:spPr>
                  <a:xfrm>
                    <a:off x="0" y="0"/>
                    <a:ext cx="1522730" cy="254000"/>
                  </a:xfrm>
                  <a:prstGeom prst="rect">
                    <a:avLst/>
                  </a:prstGeom>
                </pic:spPr>
              </pic:pic>
            </a:graphicData>
          </a:graphic>
          <wp14:sizeRelH relativeFrom="margin">
            <wp14:pctWidth>0</wp14:pctWidth>
          </wp14:sizeRelH>
          <wp14:sizeRelV relativeFrom="margin">
            <wp14:pctHeight>0</wp14:pctHeight>
          </wp14:sizeRelV>
        </wp:anchor>
      </w:drawing>
    </w:r>
  </w:p>
  <w:p w14:paraId="1C4314DD" w14:textId="77586437" w:rsidR="00A02588" w:rsidRDefault="00A02588" w:rsidP="00EE4EBE">
    <w:pPr>
      <w:pStyle w:val="Header"/>
      <w:tabs>
        <w:tab w:val="right" w:pos="4513"/>
      </w:tabs>
      <w:jc w:val="right"/>
      <w:rPr>
        <w:rFonts w:ascii="Poppins" w:hAnsi="Poppins" w:cs="Poppins"/>
        <w:b/>
        <w:bCs/>
        <w:color w:val="001E61"/>
        <w:sz w:val="14"/>
        <w:szCs w:val="14"/>
      </w:rPr>
    </w:pPr>
  </w:p>
  <w:p w14:paraId="0601A8E2" w14:textId="41EA1FDB" w:rsidR="00A02588" w:rsidRDefault="00A02588" w:rsidP="00EE4EBE">
    <w:pPr>
      <w:pStyle w:val="Header"/>
      <w:tabs>
        <w:tab w:val="right" w:pos="4513"/>
      </w:tabs>
      <w:jc w:val="right"/>
      <w:rPr>
        <w:rFonts w:ascii="Poppins" w:hAnsi="Poppins" w:cs="Poppins"/>
        <w:b/>
        <w:bCs/>
        <w:color w:val="001E61"/>
        <w:sz w:val="14"/>
        <w:szCs w:val="14"/>
      </w:rPr>
    </w:pPr>
  </w:p>
  <w:p w14:paraId="327BEC03" w14:textId="30327F1C" w:rsidR="00A02588" w:rsidRDefault="00A02588" w:rsidP="00EE4EBE">
    <w:pPr>
      <w:pStyle w:val="Header"/>
      <w:tabs>
        <w:tab w:val="right" w:pos="4513"/>
      </w:tabs>
      <w:jc w:val="right"/>
      <w:rPr>
        <w:rFonts w:ascii="Poppins" w:hAnsi="Poppins" w:cs="Poppins"/>
        <w:b/>
        <w:bCs/>
        <w:color w:val="001E61"/>
        <w:sz w:val="14"/>
        <w:szCs w:val="14"/>
      </w:rPr>
    </w:pPr>
    <w:r>
      <w:rPr>
        <w:rFonts w:ascii="Poppins" w:hAnsi="Poppins" w:cs="Poppins"/>
        <w:b/>
        <w:bCs/>
        <w:noProof/>
        <w:color w:val="001E61"/>
        <w:sz w:val="14"/>
        <w:szCs w:val="14"/>
      </w:rPr>
      <mc:AlternateContent>
        <mc:Choice Requires="wps">
          <w:drawing>
            <wp:anchor distT="0" distB="0" distL="114300" distR="114300" simplePos="0" relativeHeight="251659264" behindDoc="0" locked="0" layoutInCell="1" allowOverlap="1" wp14:anchorId="364E01BD" wp14:editId="69A58620">
              <wp:simplePos x="0" y="0"/>
              <wp:positionH relativeFrom="column">
                <wp:posOffset>32385</wp:posOffset>
              </wp:positionH>
              <wp:positionV relativeFrom="paragraph">
                <wp:posOffset>45811</wp:posOffset>
              </wp:positionV>
              <wp:extent cx="6158230" cy="1270"/>
              <wp:effectExtent l="12700" t="12700" r="1270" b="24130"/>
              <wp:wrapNone/>
              <wp:docPr id="4" name="Straight Connector 4"/>
              <wp:cNvGraphicFramePr/>
              <a:graphic xmlns:a="http://schemas.openxmlformats.org/drawingml/2006/main">
                <a:graphicData uri="http://schemas.microsoft.com/office/word/2010/wordprocessingShape">
                  <wps:wsp>
                    <wps:cNvCnPr/>
                    <wps:spPr>
                      <a:xfrm flipH="1">
                        <a:off x="0" y="0"/>
                        <a:ext cx="6158230" cy="1270"/>
                      </a:xfrm>
                      <a:prstGeom prst="line">
                        <a:avLst/>
                      </a:prstGeom>
                      <a:ln>
                        <a:solidFill>
                          <a:srgbClr val="1ECAD3"/>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F83F36" id="Straight Connector 4"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3.6pt" to="487.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" strokecolor="#1ecad3" strokeweight="1.5pt">
              <v:stroke joinstyle="miter"/>
            </v:line>
          </w:pict>
        </mc:Fallback>
      </mc:AlternateContent>
    </w:r>
  </w:p>
  <w:p w14:paraId="5719EF4D" w14:textId="77777777" w:rsidR="00A02588" w:rsidRPr="00EE4EBE" w:rsidRDefault="00A02588" w:rsidP="00EE4EBE">
    <w:pPr>
      <w:pStyle w:val="Header"/>
      <w:tabs>
        <w:tab w:val="right" w:pos="4513"/>
      </w:tabs>
      <w:jc w:val="right"/>
      <w:rPr>
        <w:rFonts w:ascii="Poppins" w:hAnsi="Poppins" w:cs="Poppins"/>
        <w:b/>
        <w:bCs/>
        <w:color w:val="001E61"/>
        <w:sz w:val="14"/>
        <w:szCs w:val="1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0028628"/>
    <w:lvl w:ilvl="0">
      <w:start w:val="1"/>
      <w:numFmt w:val="decimal"/>
      <w:lvlText w:val="%1."/>
      <w:lvlJc w:val="left"/>
      <w:pPr>
        <w:tabs>
          <w:tab w:val="num" w:pos="1492"/>
        </w:tabs>
        <w:ind w:left="1492" w:hanging="360"/>
      </w:pPr>
    </w:lvl>
  </w:abstractNum>
  <w:abstractNum w:abstractNumId="1">
    <w:nsid w:val="FFFFFF7D"/>
    <w:multiLevelType w:val="singleLevel"/>
    <w:tmpl w:val="2CAAEEB8"/>
    <w:lvl w:ilvl="0">
      <w:start w:val="1"/>
      <w:numFmt w:val="decimal"/>
      <w:lvlText w:val="%1."/>
      <w:lvlJc w:val="left"/>
      <w:pPr>
        <w:tabs>
          <w:tab w:val="num" w:pos="1209"/>
        </w:tabs>
        <w:ind w:left="1209" w:hanging="360"/>
      </w:pPr>
    </w:lvl>
  </w:abstractNum>
  <w:abstractNum w:abstractNumId="2">
    <w:nsid w:val="FFFFFF7E"/>
    <w:multiLevelType w:val="singleLevel"/>
    <w:tmpl w:val="B7EECAAA"/>
    <w:lvl w:ilvl="0">
      <w:start w:val="1"/>
      <w:numFmt w:val="decimal"/>
      <w:lvlText w:val="%1."/>
      <w:lvlJc w:val="left"/>
      <w:pPr>
        <w:tabs>
          <w:tab w:val="num" w:pos="926"/>
        </w:tabs>
        <w:ind w:left="926" w:hanging="360"/>
      </w:pPr>
    </w:lvl>
  </w:abstractNum>
  <w:abstractNum w:abstractNumId="3">
    <w:nsid w:val="FFFFFF7F"/>
    <w:multiLevelType w:val="singleLevel"/>
    <w:tmpl w:val="6646EE5E"/>
    <w:lvl w:ilvl="0">
      <w:start w:val="1"/>
      <w:numFmt w:val="decimal"/>
      <w:lvlText w:val="%1."/>
      <w:lvlJc w:val="left"/>
      <w:pPr>
        <w:tabs>
          <w:tab w:val="num" w:pos="643"/>
        </w:tabs>
        <w:ind w:left="643" w:hanging="360"/>
      </w:pPr>
    </w:lvl>
  </w:abstractNum>
  <w:abstractNum w:abstractNumId="4">
    <w:nsid w:val="FFFFFF80"/>
    <w:multiLevelType w:val="singleLevel"/>
    <w:tmpl w:val="CD20F7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2017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D4AA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3EA66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6A03FB0"/>
    <w:lvl w:ilvl="0">
      <w:start w:val="1"/>
      <w:numFmt w:val="decimal"/>
      <w:lvlText w:val="%1."/>
      <w:lvlJc w:val="left"/>
      <w:pPr>
        <w:tabs>
          <w:tab w:val="num" w:pos="360"/>
        </w:tabs>
        <w:ind w:left="360" w:hanging="360"/>
      </w:pPr>
    </w:lvl>
  </w:abstractNum>
  <w:abstractNum w:abstractNumId="9">
    <w:nsid w:val="FFFFFF89"/>
    <w:multiLevelType w:val="singleLevel"/>
    <w:tmpl w:val="AA34FB46"/>
    <w:lvl w:ilvl="0">
      <w:start w:val="1"/>
      <w:numFmt w:val="bullet"/>
      <w:lvlText w:val=""/>
      <w:lvlJc w:val="left"/>
      <w:pPr>
        <w:tabs>
          <w:tab w:val="num" w:pos="360"/>
        </w:tabs>
        <w:ind w:left="360" w:hanging="360"/>
      </w:pPr>
      <w:rPr>
        <w:rFonts w:ascii="Symbol" w:hAnsi="Symbol" w:hint="default"/>
      </w:rPr>
    </w:lvl>
  </w:abstractNum>
  <w:abstractNum w:abstractNumId="10">
    <w:nsid w:val="0291333D"/>
    <w:multiLevelType w:val="hybridMultilevel"/>
    <w:tmpl w:val="C676357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nsid w:val="08277081"/>
    <w:multiLevelType w:val="hybridMultilevel"/>
    <w:tmpl w:val="CFE4D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9117CB5"/>
    <w:multiLevelType w:val="multilevel"/>
    <w:tmpl w:val="96604F04"/>
    <w:lvl w:ilvl="0">
      <w:start w:val="1"/>
      <w:numFmt w:val="bullet"/>
      <w:lvlText w:val=""/>
      <w:lvlJc w:val="left"/>
      <w:pPr>
        <w:ind w:left="284" w:hanging="284"/>
      </w:pPr>
      <w:rPr>
        <w:rFonts w:ascii="Symbol" w:hAnsi="Symbol" w:hint="default"/>
        <w:color w:val="1ECAD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0A756490"/>
    <w:multiLevelType w:val="hybridMultilevel"/>
    <w:tmpl w:val="96604F04"/>
    <w:lvl w:ilvl="0" w:tplc="9E16428C">
      <w:start w:val="1"/>
      <w:numFmt w:val="bullet"/>
      <w:pStyle w:val="IANSA-BulletPoint1"/>
      <w:lvlText w:val=""/>
      <w:lvlJc w:val="left"/>
      <w:pPr>
        <w:ind w:left="284" w:hanging="284"/>
      </w:pPr>
      <w:rPr>
        <w:rFonts w:ascii="Symbol" w:hAnsi="Symbol" w:hint="default"/>
        <w:color w:val="1ECAD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C1B2076"/>
    <w:multiLevelType w:val="multilevel"/>
    <w:tmpl w:val="175EB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82775B"/>
    <w:multiLevelType w:val="multilevel"/>
    <w:tmpl w:val="7598E5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81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6B42715"/>
    <w:multiLevelType w:val="multilevel"/>
    <w:tmpl w:val="F088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76004B6"/>
    <w:multiLevelType w:val="hybridMultilevel"/>
    <w:tmpl w:val="6CCE7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nsid w:val="1AF15226"/>
    <w:multiLevelType w:val="multilevel"/>
    <w:tmpl w:val="45C06A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15617C7"/>
    <w:multiLevelType w:val="multilevel"/>
    <w:tmpl w:val="CBF6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393B17"/>
    <w:multiLevelType w:val="hybridMultilevel"/>
    <w:tmpl w:val="29A4BB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21920C0"/>
    <w:multiLevelType w:val="hybridMultilevel"/>
    <w:tmpl w:val="1A9C57B8"/>
    <w:lvl w:ilvl="0" w:tplc="4AE21F2C">
      <w:start w:val="3"/>
      <w:numFmt w:val="bullet"/>
      <w:lvlText w:val="-"/>
      <w:lvlJc w:val="left"/>
      <w:pPr>
        <w:ind w:left="720" w:hanging="360"/>
      </w:pPr>
      <w:rPr>
        <w:rFonts w:ascii="Poppins" w:eastAsia="Times New Roman" w:hAnsi="Poppins"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433D8C"/>
    <w:multiLevelType w:val="multilevel"/>
    <w:tmpl w:val="C836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7473C2"/>
    <w:multiLevelType w:val="multilevel"/>
    <w:tmpl w:val="7698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9D747A"/>
    <w:multiLevelType w:val="hybridMultilevel"/>
    <w:tmpl w:val="6D90AD84"/>
    <w:lvl w:ilvl="0" w:tplc="E1842810">
      <w:start w:val="1"/>
      <w:numFmt w:val="bullet"/>
      <w:pStyle w:val="IANSABulletPoint2"/>
      <w:lvlText w:val="–"/>
      <w:lvlJc w:val="left"/>
      <w:pPr>
        <w:ind w:left="567" w:hanging="283"/>
      </w:pPr>
      <w:rPr>
        <w:rFonts w:ascii="Poppins" w:hAnsi="Poppins" w:hint="default"/>
        <w:b w:val="0"/>
        <w:i w:val="0"/>
        <w:color w:val="878787"/>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11DE9"/>
    <w:multiLevelType w:val="multilevel"/>
    <w:tmpl w:val="34E0D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3DD37EB4"/>
    <w:multiLevelType w:val="hybridMultilevel"/>
    <w:tmpl w:val="3260FB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5A1E98"/>
    <w:multiLevelType w:val="hybridMultilevel"/>
    <w:tmpl w:val="CDB6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4275CF9"/>
    <w:multiLevelType w:val="hybridMultilevel"/>
    <w:tmpl w:val="F050D4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485B0266"/>
    <w:multiLevelType w:val="multilevel"/>
    <w:tmpl w:val="6C82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563215"/>
    <w:multiLevelType w:val="hybridMultilevel"/>
    <w:tmpl w:val="1324CE6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C65134"/>
    <w:multiLevelType w:val="hybridMultilevel"/>
    <w:tmpl w:val="DB3E6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5A56446"/>
    <w:multiLevelType w:val="multilevel"/>
    <w:tmpl w:val="2074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B67621"/>
    <w:multiLevelType w:val="hybridMultilevel"/>
    <w:tmpl w:val="54F49AF4"/>
    <w:lvl w:ilvl="0" w:tplc="0409000B">
      <w:start w:val="1"/>
      <w:numFmt w:val="bullet"/>
      <w:lvlText w:val=""/>
      <w:lvlJc w:val="left"/>
      <w:pPr>
        <w:ind w:left="142" w:hanging="360"/>
      </w:pPr>
      <w:rPr>
        <w:rFonts w:ascii="Wingdings" w:hAnsi="Wingdings" w:hint="default"/>
      </w:rPr>
    </w:lvl>
    <w:lvl w:ilvl="1" w:tplc="0409000B">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nsid w:val="63E51315"/>
    <w:multiLevelType w:val="hybridMultilevel"/>
    <w:tmpl w:val="6D001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BD6D2E"/>
    <w:multiLevelType w:val="hybridMultilevel"/>
    <w:tmpl w:val="91B409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C171C9"/>
    <w:multiLevelType w:val="multilevel"/>
    <w:tmpl w:val="EEC4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040822"/>
    <w:multiLevelType w:val="multilevel"/>
    <w:tmpl w:val="5824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753ED2"/>
    <w:multiLevelType w:val="multilevel"/>
    <w:tmpl w:val="6330A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5128A3"/>
    <w:multiLevelType w:val="hybridMultilevel"/>
    <w:tmpl w:val="9F608C3E"/>
    <w:lvl w:ilvl="0" w:tplc="6CBE2D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0"/>
  </w:num>
  <w:num w:numId="3">
    <w:abstractNumId w:val="15"/>
  </w:num>
  <w:num w:numId="4">
    <w:abstractNumId w:val="26"/>
  </w:num>
  <w:num w:numId="5">
    <w:abstractNumId w:val="30"/>
  </w:num>
  <w:num w:numId="6">
    <w:abstractNumId w:val="31"/>
  </w:num>
  <w:num w:numId="7">
    <w:abstractNumId w:val="11"/>
  </w:num>
  <w:num w:numId="8">
    <w:abstractNumId w:val="13"/>
  </w:num>
  <w:num w:numId="9">
    <w:abstractNumId w:val="18"/>
  </w:num>
  <w:num w:numId="10">
    <w:abstractNumId w:val="12"/>
  </w:num>
  <w:num w:numId="11">
    <w:abstractNumId w:val="24"/>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 w:numId="22">
    <w:abstractNumId w:val="19"/>
  </w:num>
  <w:num w:numId="23">
    <w:abstractNumId w:val="38"/>
  </w:num>
  <w:num w:numId="24">
    <w:abstractNumId w:val="38"/>
  </w:num>
  <w:num w:numId="25">
    <w:abstractNumId w:val="37"/>
  </w:num>
  <w:num w:numId="26">
    <w:abstractNumId w:val="16"/>
  </w:num>
  <w:num w:numId="27">
    <w:abstractNumId w:val="36"/>
  </w:num>
  <w:num w:numId="28">
    <w:abstractNumId w:val="22"/>
  </w:num>
  <w:num w:numId="29">
    <w:abstractNumId w:val="29"/>
  </w:num>
  <w:num w:numId="30">
    <w:abstractNumId w:val="32"/>
  </w:num>
  <w:num w:numId="31">
    <w:abstractNumId w:val="23"/>
  </w:num>
  <w:num w:numId="32">
    <w:abstractNumId w:val="14"/>
  </w:num>
  <w:num w:numId="33">
    <w:abstractNumId w:val="14"/>
  </w:num>
  <w:num w:numId="34">
    <w:abstractNumId w:val="33"/>
  </w:num>
  <w:num w:numId="35">
    <w:abstractNumId w:val="21"/>
  </w:num>
  <w:num w:numId="36">
    <w:abstractNumId w:val="39"/>
  </w:num>
  <w:num w:numId="37">
    <w:abstractNumId w:val="20"/>
  </w:num>
  <w:num w:numId="38">
    <w:abstractNumId w:val="25"/>
  </w:num>
  <w:num w:numId="39">
    <w:abstractNumId w:val="27"/>
  </w:num>
  <w:num w:numId="40">
    <w:abstractNumId w:val="34"/>
  </w:num>
  <w:num w:numId="41">
    <w:abstractNumId w:val="1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C8"/>
    <w:rsid w:val="00005C25"/>
    <w:rsid w:val="00005FC6"/>
    <w:rsid w:val="00006D31"/>
    <w:rsid w:val="000107FF"/>
    <w:rsid w:val="00011268"/>
    <w:rsid w:val="000157FD"/>
    <w:rsid w:val="00015D21"/>
    <w:rsid w:val="00021759"/>
    <w:rsid w:val="00022D93"/>
    <w:rsid w:val="000306A8"/>
    <w:rsid w:val="00032AAE"/>
    <w:rsid w:val="00033C7F"/>
    <w:rsid w:val="00042710"/>
    <w:rsid w:val="00042A61"/>
    <w:rsid w:val="00050848"/>
    <w:rsid w:val="00052A23"/>
    <w:rsid w:val="000530AC"/>
    <w:rsid w:val="00055EFF"/>
    <w:rsid w:val="0006090D"/>
    <w:rsid w:val="00061ADF"/>
    <w:rsid w:val="00065B32"/>
    <w:rsid w:val="000662E6"/>
    <w:rsid w:val="00066A45"/>
    <w:rsid w:val="00070D82"/>
    <w:rsid w:val="00071AF2"/>
    <w:rsid w:val="00075051"/>
    <w:rsid w:val="0008347F"/>
    <w:rsid w:val="00085B1F"/>
    <w:rsid w:val="0008646B"/>
    <w:rsid w:val="00096C4C"/>
    <w:rsid w:val="000A511E"/>
    <w:rsid w:val="000A54E0"/>
    <w:rsid w:val="000A704F"/>
    <w:rsid w:val="000A7E32"/>
    <w:rsid w:val="000B004C"/>
    <w:rsid w:val="000B2CA7"/>
    <w:rsid w:val="000B380B"/>
    <w:rsid w:val="000B3E04"/>
    <w:rsid w:val="000B451D"/>
    <w:rsid w:val="000B4FCE"/>
    <w:rsid w:val="000B6246"/>
    <w:rsid w:val="000B776C"/>
    <w:rsid w:val="000C7AB0"/>
    <w:rsid w:val="000D1083"/>
    <w:rsid w:val="000D675B"/>
    <w:rsid w:val="000E4073"/>
    <w:rsid w:val="000E49CF"/>
    <w:rsid w:val="000E5AE7"/>
    <w:rsid w:val="000F22CE"/>
    <w:rsid w:val="000F474E"/>
    <w:rsid w:val="000F793C"/>
    <w:rsid w:val="00101BE2"/>
    <w:rsid w:val="00105C96"/>
    <w:rsid w:val="00105E54"/>
    <w:rsid w:val="001122DF"/>
    <w:rsid w:val="00112B9C"/>
    <w:rsid w:val="00114028"/>
    <w:rsid w:val="001143AD"/>
    <w:rsid w:val="001148BB"/>
    <w:rsid w:val="00115537"/>
    <w:rsid w:val="001201D5"/>
    <w:rsid w:val="00120482"/>
    <w:rsid w:val="00120941"/>
    <w:rsid w:val="00124433"/>
    <w:rsid w:val="00124FC5"/>
    <w:rsid w:val="00132044"/>
    <w:rsid w:val="00134398"/>
    <w:rsid w:val="0014299F"/>
    <w:rsid w:val="00144140"/>
    <w:rsid w:val="001460BC"/>
    <w:rsid w:val="00150347"/>
    <w:rsid w:val="00151571"/>
    <w:rsid w:val="00151C01"/>
    <w:rsid w:val="00154BF1"/>
    <w:rsid w:val="00154D76"/>
    <w:rsid w:val="00160FF6"/>
    <w:rsid w:val="0016149D"/>
    <w:rsid w:val="00163AF1"/>
    <w:rsid w:val="00164389"/>
    <w:rsid w:val="00166495"/>
    <w:rsid w:val="00170E3B"/>
    <w:rsid w:val="00170E7B"/>
    <w:rsid w:val="00171594"/>
    <w:rsid w:val="00172855"/>
    <w:rsid w:val="00177274"/>
    <w:rsid w:val="00181A76"/>
    <w:rsid w:val="001833D1"/>
    <w:rsid w:val="0018446D"/>
    <w:rsid w:val="00184F9A"/>
    <w:rsid w:val="001915F1"/>
    <w:rsid w:val="00195E68"/>
    <w:rsid w:val="001A3B0C"/>
    <w:rsid w:val="001B07FB"/>
    <w:rsid w:val="001B0B57"/>
    <w:rsid w:val="001B422E"/>
    <w:rsid w:val="001B4CD6"/>
    <w:rsid w:val="001B63A1"/>
    <w:rsid w:val="001C112C"/>
    <w:rsid w:val="001C36A9"/>
    <w:rsid w:val="001C39E7"/>
    <w:rsid w:val="001C43FA"/>
    <w:rsid w:val="001C688A"/>
    <w:rsid w:val="001D61AC"/>
    <w:rsid w:val="001E256D"/>
    <w:rsid w:val="001E3721"/>
    <w:rsid w:val="001F2748"/>
    <w:rsid w:val="001F2C71"/>
    <w:rsid w:val="001F6509"/>
    <w:rsid w:val="00206345"/>
    <w:rsid w:val="00211C1A"/>
    <w:rsid w:val="002123E0"/>
    <w:rsid w:val="00212DDD"/>
    <w:rsid w:val="00214269"/>
    <w:rsid w:val="002150D9"/>
    <w:rsid w:val="00215FD3"/>
    <w:rsid w:val="0022410E"/>
    <w:rsid w:val="00224DA6"/>
    <w:rsid w:val="00226E3F"/>
    <w:rsid w:val="0023068F"/>
    <w:rsid w:val="00232162"/>
    <w:rsid w:val="00232F9A"/>
    <w:rsid w:val="002343AB"/>
    <w:rsid w:val="0023575B"/>
    <w:rsid w:val="002373DF"/>
    <w:rsid w:val="00240A81"/>
    <w:rsid w:val="0024584E"/>
    <w:rsid w:val="00246CDD"/>
    <w:rsid w:val="002507F0"/>
    <w:rsid w:val="00252835"/>
    <w:rsid w:val="00253EA4"/>
    <w:rsid w:val="00254183"/>
    <w:rsid w:val="00260116"/>
    <w:rsid w:val="00261D9F"/>
    <w:rsid w:val="0026296C"/>
    <w:rsid w:val="00263249"/>
    <w:rsid w:val="00265C19"/>
    <w:rsid w:val="00267205"/>
    <w:rsid w:val="0027030D"/>
    <w:rsid w:val="00273594"/>
    <w:rsid w:val="002756D5"/>
    <w:rsid w:val="00276EE2"/>
    <w:rsid w:val="00277F87"/>
    <w:rsid w:val="002812FB"/>
    <w:rsid w:val="0028170C"/>
    <w:rsid w:val="00281B57"/>
    <w:rsid w:val="0028333F"/>
    <w:rsid w:val="00285EA1"/>
    <w:rsid w:val="00290A54"/>
    <w:rsid w:val="002942D2"/>
    <w:rsid w:val="00295339"/>
    <w:rsid w:val="0029564A"/>
    <w:rsid w:val="00297C3C"/>
    <w:rsid w:val="002A19BC"/>
    <w:rsid w:val="002A6741"/>
    <w:rsid w:val="002B4688"/>
    <w:rsid w:val="002B4FB6"/>
    <w:rsid w:val="002B58AF"/>
    <w:rsid w:val="002C1496"/>
    <w:rsid w:val="002C481A"/>
    <w:rsid w:val="002C62F7"/>
    <w:rsid w:val="002D0615"/>
    <w:rsid w:val="002D4E45"/>
    <w:rsid w:val="002E0B5D"/>
    <w:rsid w:val="002E527E"/>
    <w:rsid w:val="002F03A2"/>
    <w:rsid w:val="002F0CF7"/>
    <w:rsid w:val="002F4262"/>
    <w:rsid w:val="002F4646"/>
    <w:rsid w:val="002F65D1"/>
    <w:rsid w:val="00305AD6"/>
    <w:rsid w:val="00305C1F"/>
    <w:rsid w:val="00317025"/>
    <w:rsid w:val="003220C1"/>
    <w:rsid w:val="00323612"/>
    <w:rsid w:val="003237A5"/>
    <w:rsid w:val="00323978"/>
    <w:rsid w:val="00324C77"/>
    <w:rsid w:val="00326CB8"/>
    <w:rsid w:val="0033478C"/>
    <w:rsid w:val="003406B3"/>
    <w:rsid w:val="00341720"/>
    <w:rsid w:val="00343B9D"/>
    <w:rsid w:val="00346F19"/>
    <w:rsid w:val="00347360"/>
    <w:rsid w:val="003477C8"/>
    <w:rsid w:val="0035064F"/>
    <w:rsid w:val="0035193A"/>
    <w:rsid w:val="00351DFD"/>
    <w:rsid w:val="00354878"/>
    <w:rsid w:val="00356DF3"/>
    <w:rsid w:val="00375537"/>
    <w:rsid w:val="00377191"/>
    <w:rsid w:val="003840D9"/>
    <w:rsid w:val="00385D3B"/>
    <w:rsid w:val="0039255A"/>
    <w:rsid w:val="00393758"/>
    <w:rsid w:val="003958E0"/>
    <w:rsid w:val="0039623C"/>
    <w:rsid w:val="00397329"/>
    <w:rsid w:val="003B0120"/>
    <w:rsid w:val="003B3CBB"/>
    <w:rsid w:val="003B540E"/>
    <w:rsid w:val="003C40E1"/>
    <w:rsid w:val="003C794D"/>
    <w:rsid w:val="003D5833"/>
    <w:rsid w:val="003E3FC1"/>
    <w:rsid w:val="003E6664"/>
    <w:rsid w:val="003E674B"/>
    <w:rsid w:val="003E71F4"/>
    <w:rsid w:val="003E7FA3"/>
    <w:rsid w:val="003F3032"/>
    <w:rsid w:val="003F3DA3"/>
    <w:rsid w:val="003F4F12"/>
    <w:rsid w:val="003F78BC"/>
    <w:rsid w:val="0040649E"/>
    <w:rsid w:val="004100FD"/>
    <w:rsid w:val="00412317"/>
    <w:rsid w:val="0041502E"/>
    <w:rsid w:val="00417D08"/>
    <w:rsid w:val="00421D1D"/>
    <w:rsid w:val="00422469"/>
    <w:rsid w:val="0042362F"/>
    <w:rsid w:val="00424F48"/>
    <w:rsid w:val="00425AA5"/>
    <w:rsid w:val="0042770F"/>
    <w:rsid w:val="004325E7"/>
    <w:rsid w:val="00434AF0"/>
    <w:rsid w:val="00441672"/>
    <w:rsid w:val="0044357D"/>
    <w:rsid w:val="00451D13"/>
    <w:rsid w:val="004544FC"/>
    <w:rsid w:val="00454913"/>
    <w:rsid w:val="00457619"/>
    <w:rsid w:val="004645FB"/>
    <w:rsid w:val="00465EDD"/>
    <w:rsid w:val="004736C9"/>
    <w:rsid w:val="00473F4B"/>
    <w:rsid w:val="004745B8"/>
    <w:rsid w:val="00475ECE"/>
    <w:rsid w:val="0048053A"/>
    <w:rsid w:val="00481D0F"/>
    <w:rsid w:val="00486C98"/>
    <w:rsid w:val="00491510"/>
    <w:rsid w:val="0049388A"/>
    <w:rsid w:val="0049474D"/>
    <w:rsid w:val="004A2A09"/>
    <w:rsid w:val="004A55D7"/>
    <w:rsid w:val="004A7BF7"/>
    <w:rsid w:val="004B58E1"/>
    <w:rsid w:val="004B59FF"/>
    <w:rsid w:val="004B5CC9"/>
    <w:rsid w:val="004B775D"/>
    <w:rsid w:val="004C1E8F"/>
    <w:rsid w:val="004C5FA1"/>
    <w:rsid w:val="004C6A48"/>
    <w:rsid w:val="004C6DEA"/>
    <w:rsid w:val="004D51B8"/>
    <w:rsid w:val="004D5E71"/>
    <w:rsid w:val="004D7558"/>
    <w:rsid w:val="004E2FBD"/>
    <w:rsid w:val="004E51EF"/>
    <w:rsid w:val="004E5339"/>
    <w:rsid w:val="004E5AF8"/>
    <w:rsid w:val="004E67DD"/>
    <w:rsid w:val="004E6A42"/>
    <w:rsid w:val="004F285D"/>
    <w:rsid w:val="00500204"/>
    <w:rsid w:val="00503020"/>
    <w:rsid w:val="00504096"/>
    <w:rsid w:val="00505EE7"/>
    <w:rsid w:val="00511611"/>
    <w:rsid w:val="00512BEC"/>
    <w:rsid w:val="005156C0"/>
    <w:rsid w:val="0052011D"/>
    <w:rsid w:val="00520B20"/>
    <w:rsid w:val="00532F49"/>
    <w:rsid w:val="00543478"/>
    <w:rsid w:val="00544D25"/>
    <w:rsid w:val="00552752"/>
    <w:rsid w:val="0055791E"/>
    <w:rsid w:val="0056004E"/>
    <w:rsid w:val="005603DF"/>
    <w:rsid w:val="00562D89"/>
    <w:rsid w:val="00564995"/>
    <w:rsid w:val="00564F24"/>
    <w:rsid w:val="00565CB4"/>
    <w:rsid w:val="00571795"/>
    <w:rsid w:val="00574238"/>
    <w:rsid w:val="00574933"/>
    <w:rsid w:val="00575053"/>
    <w:rsid w:val="005774BF"/>
    <w:rsid w:val="005829BE"/>
    <w:rsid w:val="00584A6B"/>
    <w:rsid w:val="0058534E"/>
    <w:rsid w:val="0058578D"/>
    <w:rsid w:val="00585B22"/>
    <w:rsid w:val="00587355"/>
    <w:rsid w:val="00587815"/>
    <w:rsid w:val="00592D9C"/>
    <w:rsid w:val="00593567"/>
    <w:rsid w:val="0059604F"/>
    <w:rsid w:val="005963C3"/>
    <w:rsid w:val="005A64EA"/>
    <w:rsid w:val="005B1C8A"/>
    <w:rsid w:val="005B4AF3"/>
    <w:rsid w:val="005B4B3A"/>
    <w:rsid w:val="005B5E46"/>
    <w:rsid w:val="005B6262"/>
    <w:rsid w:val="005C3555"/>
    <w:rsid w:val="005C3612"/>
    <w:rsid w:val="005C3BE9"/>
    <w:rsid w:val="005C3BF3"/>
    <w:rsid w:val="005C4EEC"/>
    <w:rsid w:val="005C5EF7"/>
    <w:rsid w:val="005D3F21"/>
    <w:rsid w:val="005D75DB"/>
    <w:rsid w:val="005E0AA5"/>
    <w:rsid w:val="005E6C4A"/>
    <w:rsid w:val="005F02B7"/>
    <w:rsid w:val="005F308A"/>
    <w:rsid w:val="006013A7"/>
    <w:rsid w:val="00612994"/>
    <w:rsid w:val="006136F0"/>
    <w:rsid w:val="006138BE"/>
    <w:rsid w:val="00614D01"/>
    <w:rsid w:val="00617D33"/>
    <w:rsid w:val="006307B3"/>
    <w:rsid w:val="006338E5"/>
    <w:rsid w:val="006435F2"/>
    <w:rsid w:val="00646084"/>
    <w:rsid w:val="006472EF"/>
    <w:rsid w:val="006554D5"/>
    <w:rsid w:val="00664D93"/>
    <w:rsid w:val="0066541C"/>
    <w:rsid w:val="00666FF8"/>
    <w:rsid w:val="00667457"/>
    <w:rsid w:val="006713F8"/>
    <w:rsid w:val="00674CEC"/>
    <w:rsid w:val="00676949"/>
    <w:rsid w:val="00680DC4"/>
    <w:rsid w:val="006849E0"/>
    <w:rsid w:val="00684A14"/>
    <w:rsid w:val="0068689A"/>
    <w:rsid w:val="006873EF"/>
    <w:rsid w:val="006A2C0F"/>
    <w:rsid w:val="006A459D"/>
    <w:rsid w:val="006A71AC"/>
    <w:rsid w:val="006B31A2"/>
    <w:rsid w:val="006B4CE2"/>
    <w:rsid w:val="006B625A"/>
    <w:rsid w:val="006C0EA2"/>
    <w:rsid w:val="006C2CCD"/>
    <w:rsid w:val="006C7A8E"/>
    <w:rsid w:val="006D0D3A"/>
    <w:rsid w:val="006D1AB9"/>
    <w:rsid w:val="006D4284"/>
    <w:rsid w:val="006E3AE4"/>
    <w:rsid w:val="006E3DE2"/>
    <w:rsid w:val="006E41EB"/>
    <w:rsid w:val="006E5DE1"/>
    <w:rsid w:val="006F09CC"/>
    <w:rsid w:val="006F121A"/>
    <w:rsid w:val="006F203A"/>
    <w:rsid w:val="006F3B26"/>
    <w:rsid w:val="006F6860"/>
    <w:rsid w:val="006F7FB2"/>
    <w:rsid w:val="00700738"/>
    <w:rsid w:val="007062C7"/>
    <w:rsid w:val="00711826"/>
    <w:rsid w:val="00712DCB"/>
    <w:rsid w:val="00713466"/>
    <w:rsid w:val="007149CC"/>
    <w:rsid w:val="00714AE1"/>
    <w:rsid w:val="0071658A"/>
    <w:rsid w:val="00724406"/>
    <w:rsid w:val="0072580F"/>
    <w:rsid w:val="00733350"/>
    <w:rsid w:val="007353A0"/>
    <w:rsid w:val="00735F26"/>
    <w:rsid w:val="007360BA"/>
    <w:rsid w:val="00747634"/>
    <w:rsid w:val="007504CA"/>
    <w:rsid w:val="00752E3B"/>
    <w:rsid w:val="00764395"/>
    <w:rsid w:val="00765E7F"/>
    <w:rsid w:val="007676DA"/>
    <w:rsid w:val="00770A5C"/>
    <w:rsid w:val="007715D0"/>
    <w:rsid w:val="007723EA"/>
    <w:rsid w:val="0078068C"/>
    <w:rsid w:val="007830A1"/>
    <w:rsid w:val="007874E5"/>
    <w:rsid w:val="00790BD1"/>
    <w:rsid w:val="00790F20"/>
    <w:rsid w:val="007A43C3"/>
    <w:rsid w:val="007A4892"/>
    <w:rsid w:val="007A4C63"/>
    <w:rsid w:val="007A6D05"/>
    <w:rsid w:val="007B2F23"/>
    <w:rsid w:val="007B7B72"/>
    <w:rsid w:val="007C2CBB"/>
    <w:rsid w:val="007C4A66"/>
    <w:rsid w:val="007C51E9"/>
    <w:rsid w:val="007C64C2"/>
    <w:rsid w:val="007C6EE0"/>
    <w:rsid w:val="007D0F53"/>
    <w:rsid w:val="007D20E0"/>
    <w:rsid w:val="007D25D9"/>
    <w:rsid w:val="007D326D"/>
    <w:rsid w:val="007D5D62"/>
    <w:rsid w:val="007D720F"/>
    <w:rsid w:val="007E0F1F"/>
    <w:rsid w:val="007E22AC"/>
    <w:rsid w:val="007E357E"/>
    <w:rsid w:val="007F430E"/>
    <w:rsid w:val="00800FD7"/>
    <w:rsid w:val="00801B28"/>
    <w:rsid w:val="00802904"/>
    <w:rsid w:val="00804315"/>
    <w:rsid w:val="00812F30"/>
    <w:rsid w:val="00813DEB"/>
    <w:rsid w:val="00816871"/>
    <w:rsid w:val="008241AD"/>
    <w:rsid w:val="00826700"/>
    <w:rsid w:val="008278D5"/>
    <w:rsid w:val="00830183"/>
    <w:rsid w:val="00831078"/>
    <w:rsid w:val="00832536"/>
    <w:rsid w:val="00833062"/>
    <w:rsid w:val="00834088"/>
    <w:rsid w:val="00835FFD"/>
    <w:rsid w:val="0084394B"/>
    <w:rsid w:val="008448A0"/>
    <w:rsid w:val="008464AF"/>
    <w:rsid w:val="00847FA5"/>
    <w:rsid w:val="008509A5"/>
    <w:rsid w:val="00851656"/>
    <w:rsid w:val="008555AC"/>
    <w:rsid w:val="0085600B"/>
    <w:rsid w:val="00856C78"/>
    <w:rsid w:val="00857121"/>
    <w:rsid w:val="00864648"/>
    <w:rsid w:val="00864A3A"/>
    <w:rsid w:val="00865698"/>
    <w:rsid w:val="0087018F"/>
    <w:rsid w:val="00877A66"/>
    <w:rsid w:val="00880A43"/>
    <w:rsid w:val="00881E85"/>
    <w:rsid w:val="00883E66"/>
    <w:rsid w:val="008A0CC8"/>
    <w:rsid w:val="008A2E10"/>
    <w:rsid w:val="008A7673"/>
    <w:rsid w:val="008B0BD7"/>
    <w:rsid w:val="008B14C9"/>
    <w:rsid w:val="008B2AA4"/>
    <w:rsid w:val="008C4DB8"/>
    <w:rsid w:val="008C5585"/>
    <w:rsid w:val="008D034B"/>
    <w:rsid w:val="008D19E4"/>
    <w:rsid w:val="008D3324"/>
    <w:rsid w:val="008D3711"/>
    <w:rsid w:val="008D45D5"/>
    <w:rsid w:val="008D5D5E"/>
    <w:rsid w:val="008D61EF"/>
    <w:rsid w:val="008D7587"/>
    <w:rsid w:val="008E4AED"/>
    <w:rsid w:val="008F5390"/>
    <w:rsid w:val="008F77D9"/>
    <w:rsid w:val="0090054C"/>
    <w:rsid w:val="00907C4A"/>
    <w:rsid w:val="009131BE"/>
    <w:rsid w:val="009209C9"/>
    <w:rsid w:val="009210DA"/>
    <w:rsid w:val="00927B1E"/>
    <w:rsid w:val="00931566"/>
    <w:rsid w:val="00932A01"/>
    <w:rsid w:val="00932D30"/>
    <w:rsid w:val="00934A59"/>
    <w:rsid w:val="00936106"/>
    <w:rsid w:val="00952E60"/>
    <w:rsid w:val="00954DB1"/>
    <w:rsid w:val="009553A9"/>
    <w:rsid w:val="00956792"/>
    <w:rsid w:val="009621A0"/>
    <w:rsid w:val="00971A41"/>
    <w:rsid w:val="00972F37"/>
    <w:rsid w:val="00990083"/>
    <w:rsid w:val="00991885"/>
    <w:rsid w:val="009922F5"/>
    <w:rsid w:val="00994935"/>
    <w:rsid w:val="0099493B"/>
    <w:rsid w:val="00995D99"/>
    <w:rsid w:val="009B6B3D"/>
    <w:rsid w:val="009B7E34"/>
    <w:rsid w:val="009C2711"/>
    <w:rsid w:val="009C7EEA"/>
    <w:rsid w:val="009D0261"/>
    <w:rsid w:val="009D0AA3"/>
    <w:rsid w:val="009D2F1C"/>
    <w:rsid w:val="009D310F"/>
    <w:rsid w:val="009D31FB"/>
    <w:rsid w:val="009D443F"/>
    <w:rsid w:val="009D4DDE"/>
    <w:rsid w:val="009D7EB0"/>
    <w:rsid w:val="009E1997"/>
    <w:rsid w:val="009E2A87"/>
    <w:rsid w:val="009E39D9"/>
    <w:rsid w:val="009E3C59"/>
    <w:rsid w:val="009E4F77"/>
    <w:rsid w:val="009E585C"/>
    <w:rsid w:val="009E759E"/>
    <w:rsid w:val="009F23AE"/>
    <w:rsid w:val="009F3E88"/>
    <w:rsid w:val="009F4D40"/>
    <w:rsid w:val="009F5C66"/>
    <w:rsid w:val="009F6D1A"/>
    <w:rsid w:val="00A01DCF"/>
    <w:rsid w:val="00A02588"/>
    <w:rsid w:val="00A0353F"/>
    <w:rsid w:val="00A0602C"/>
    <w:rsid w:val="00A066EC"/>
    <w:rsid w:val="00A07B00"/>
    <w:rsid w:val="00A14A9E"/>
    <w:rsid w:val="00A15474"/>
    <w:rsid w:val="00A159FF"/>
    <w:rsid w:val="00A2134C"/>
    <w:rsid w:val="00A2409F"/>
    <w:rsid w:val="00A24C23"/>
    <w:rsid w:val="00A32001"/>
    <w:rsid w:val="00A34C8B"/>
    <w:rsid w:val="00A35229"/>
    <w:rsid w:val="00A4043E"/>
    <w:rsid w:val="00A42948"/>
    <w:rsid w:val="00A43602"/>
    <w:rsid w:val="00A46A8F"/>
    <w:rsid w:val="00A56F90"/>
    <w:rsid w:val="00A6074C"/>
    <w:rsid w:val="00A630B9"/>
    <w:rsid w:val="00A71305"/>
    <w:rsid w:val="00A71FBE"/>
    <w:rsid w:val="00A77F2E"/>
    <w:rsid w:val="00A80004"/>
    <w:rsid w:val="00A80279"/>
    <w:rsid w:val="00A8144A"/>
    <w:rsid w:val="00A8164D"/>
    <w:rsid w:val="00A81AF5"/>
    <w:rsid w:val="00A83A7A"/>
    <w:rsid w:val="00A84D73"/>
    <w:rsid w:val="00A9005B"/>
    <w:rsid w:val="00A9106A"/>
    <w:rsid w:val="00A943D7"/>
    <w:rsid w:val="00A94944"/>
    <w:rsid w:val="00AA05F3"/>
    <w:rsid w:val="00AA1E53"/>
    <w:rsid w:val="00AA306F"/>
    <w:rsid w:val="00AA7FFC"/>
    <w:rsid w:val="00AB526E"/>
    <w:rsid w:val="00AC06D6"/>
    <w:rsid w:val="00AC32E4"/>
    <w:rsid w:val="00AC5C55"/>
    <w:rsid w:val="00AC60A3"/>
    <w:rsid w:val="00AD13D3"/>
    <w:rsid w:val="00AD1FA2"/>
    <w:rsid w:val="00AD73FF"/>
    <w:rsid w:val="00AE1490"/>
    <w:rsid w:val="00AE260D"/>
    <w:rsid w:val="00AE4F1A"/>
    <w:rsid w:val="00AE66FD"/>
    <w:rsid w:val="00AF0886"/>
    <w:rsid w:val="00AF10BA"/>
    <w:rsid w:val="00AF12DC"/>
    <w:rsid w:val="00AF1A52"/>
    <w:rsid w:val="00AF4A0B"/>
    <w:rsid w:val="00AF4FE7"/>
    <w:rsid w:val="00AF711C"/>
    <w:rsid w:val="00B053D9"/>
    <w:rsid w:val="00B05798"/>
    <w:rsid w:val="00B149E4"/>
    <w:rsid w:val="00B22EEB"/>
    <w:rsid w:val="00B2502F"/>
    <w:rsid w:val="00B25454"/>
    <w:rsid w:val="00B354A0"/>
    <w:rsid w:val="00B372AC"/>
    <w:rsid w:val="00B407F9"/>
    <w:rsid w:val="00B44957"/>
    <w:rsid w:val="00B44FCD"/>
    <w:rsid w:val="00B47D5E"/>
    <w:rsid w:val="00B47F52"/>
    <w:rsid w:val="00B50EDF"/>
    <w:rsid w:val="00B51BC3"/>
    <w:rsid w:val="00B55011"/>
    <w:rsid w:val="00B55C14"/>
    <w:rsid w:val="00B61815"/>
    <w:rsid w:val="00B629D9"/>
    <w:rsid w:val="00B66215"/>
    <w:rsid w:val="00B6656E"/>
    <w:rsid w:val="00B66C45"/>
    <w:rsid w:val="00B754B6"/>
    <w:rsid w:val="00B7581E"/>
    <w:rsid w:val="00B90D8B"/>
    <w:rsid w:val="00B92350"/>
    <w:rsid w:val="00B928F7"/>
    <w:rsid w:val="00B9498F"/>
    <w:rsid w:val="00B965CB"/>
    <w:rsid w:val="00B976BD"/>
    <w:rsid w:val="00BA5F03"/>
    <w:rsid w:val="00BA63D7"/>
    <w:rsid w:val="00BA71A0"/>
    <w:rsid w:val="00BB722A"/>
    <w:rsid w:val="00BC0B10"/>
    <w:rsid w:val="00BC5581"/>
    <w:rsid w:val="00BD015D"/>
    <w:rsid w:val="00BD04DE"/>
    <w:rsid w:val="00BD39C4"/>
    <w:rsid w:val="00BD3ABB"/>
    <w:rsid w:val="00BD700A"/>
    <w:rsid w:val="00BE0C2B"/>
    <w:rsid w:val="00BE2D25"/>
    <w:rsid w:val="00BE62C8"/>
    <w:rsid w:val="00BF16DC"/>
    <w:rsid w:val="00C05B31"/>
    <w:rsid w:val="00C12C79"/>
    <w:rsid w:val="00C12CEE"/>
    <w:rsid w:val="00C15951"/>
    <w:rsid w:val="00C15EF3"/>
    <w:rsid w:val="00C1650C"/>
    <w:rsid w:val="00C208CA"/>
    <w:rsid w:val="00C2446B"/>
    <w:rsid w:val="00C345D2"/>
    <w:rsid w:val="00C35EAA"/>
    <w:rsid w:val="00C3663B"/>
    <w:rsid w:val="00C36C17"/>
    <w:rsid w:val="00C41F00"/>
    <w:rsid w:val="00C44D0C"/>
    <w:rsid w:val="00C46A1D"/>
    <w:rsid w:val="00C5042B"/>
    <w:rsid w:val="00C55E6F"/>
    <w:rsid w:val="00C56CE7"/>
    <w:rsid w:val="00C57D73"/>
    <w:rsid w:val="00C6499F"/>
    <w:rsid w:val="00C6616C"/>
    <w:rsid w:val="00C66320"/>
    <w:rsid w:val="00C70554"/>
    <w:rsid w:val="00C72A91"/>
    <w:rsid w:val="00C72C35"/>
    <w:rsid w:val="00C748EC"/>
    <w:rsid w:val="00C76C80"/>
    <w:rsid w:val="00C80884"/>
    <w:rsid w:val="00C8333E"/>
    <w:rsid w:val="00C905E1"/>
    <w:rsid w:val="00C9310E"/>
    <w:rsid w:val="00C94609"/>
    <w:rsid w:val="00C948AC"/>
    <w:rsid w:val="00CA5443"/>
    <w:rsid w:val="00CB0667"/>
    <w:rsid w:val="00CB1234"/>
    <w:rsid w:val="00CB2CA9"/>
    <w:rsid w:val="00CC1861"/>
    <w:rsid w:val="00CC1EC1"/>
    <w:rsid w:val="00CC3009"/>
    <w:rsid w:val="00CC3291"/>
    <w:rsid w:val="00CC79A1"/>
    <w:rsid w:val="00CC7C40"/>
    <w:rsid w:val="00CD0DE0"/>
    <w:rsid w:val="00CD1735"/>
    <w:rsid w:val="00CD3665"/>
    <w:rsid w:val="00CD431A"/>
    <w:rsid w:val="00CE1806"/>
    <w:rsid w:val="00CE39FF"/>
    <w:rsid w:val="00CE5F75"/>
    <w:rsid w:val="00CE693C"/>
    <w:rsid w:val="00CE75B1"/>
    <w:rsid w:val="00CF26F4"/>
    <w:rsid w:val="00CF4E67"/>
    <w:rsid w:val="00CF4ED1"/>
    <w:rsid w:val="00CF6054"/>
    <w:rsid w:val="00CF73FF"/>
    <w:rsid w:val="00D01924"/>
    <w:rsid w:val="00D0239B"/>
    <w:rsid w:val="00D03808"/>
    <w:rsid w:val="00D0482E"/>
    <w:rsid w:val="00D134CC"/>
    <w:rsid w:val="00D15E02"/>
    <w:rsid w:val="00D20C31"/>
    <w:rsid w:val="00D2214F"/>
    <w:rsid w:val="00D30E51"/>
    <w:rsid w:val="00D31007"/>
    <w:rsid w:val="00D3374D"/>
    <w:rsid w:val="00D40A1E"/>
    <w:rsid w:val="00D41A1B"/>
    <w:rsid w:val="00D440D3"/>
    <w:rsid w:val="00D46BEF"/>
    <w:rsid w:val="00D52450"/>
    <w:rsid w:val="00D52860"/>
    <w:rsid w:val="00D54B8E"/>
    <w:rsid w:val="00D602F6"/>
    <w:rsid w:val="00D6624C"/>
    <w:rsid w:val="00D70486"/>
    <w:rsid w:val="00D709AF"/>
    <w:rsid w:val="00D74729"/>
    <w:rsid w:val="00D75F06"/>
    <w:rsid w:val="00D7740D"/>
    <w:rsid w:val="00D805A3"/>
    <w:rsid w:val="00D8099F"/>
    <w:rsid w:val="00D81FC7"/>
    <w:rsid w:val="00D8395C"/>
    <w:rsid w:val="00D84729"/>
    <w:rsid w:val="00D84B13"/>
    <w:rsid w:val="00D858D4"/>
    <w:rsid w:val="00D8652B"/>
    <w:rsid w:val="00DA1215"/>
    <w:rsid w:val="00DA3DA7"/>
    <w:rsid w:val="00DA3FC6"/>
    <w:rsid w:val="00DA446B"/>
    <w:rsid w:val="00DA4C3C"/>
    <w:rsid w:val="00DB20D5"/>
    <w:rsid w:val="00DB21DA"/>
    <w:rsid w:val="00DB4DE6"/>
    <w:rsid w:val="00DB590F"/>
    <w:rsid w:val="00DB5E85"/>
    <w:rsid w:val="00DB612A"/>
    <w:rsid w:val="00DC201D"/>
    <w:rsid w:val="00DC30B0"/>
    <w:rsid w:val="00DD42D6"/>
    <w:rsid w:val="00DD5C48"/>
    <w:rsid w:val="00DD7389"/>
    <w:rsid w:val="00DD7F55"/>
    <w:rsid w:val="00DE1958"/>
    <w:rsid w:val="00DE1CEE"/>
    <w:rsid w:val="00DE2102"/>
    <w:rsid w:val="00DE22A2"/>
    <w:rsid w:val="00DE3E34"/>
    <w:rsid w:val="00DF151B"/>
    <w:rsid w:val="00DF5960"/>
    <w:rsid w:val="00DF7343"/>
    <w:rsid w:val="00E0028D"/>
    <w:rsid w:val="00E0036E"/>
    <w:rsid w:val="00E00B34"/>
    <w:rsid w:val="00E042C0"/>
    <w:rsid w:val="00E071A8"/>
    <w:rsid w:val="00E10474"/>
    <w:rsid w:val="00E16252"/>
    <w:rsid w:val="00E1647A"/>
    <w:rsid w:val="00E20E2D"/>
    <w:rsid w:val="00E233CF"/>
    <w:rsid w:val="00E2367A"/>
    <w:rsid w:val="00E23A9F"/>
    <w:rsid w:val="00E24611"/>
    <w:rsid w:val="00E27A2F"/>
    <w:rsid w:val="00E307DC"/>
    <w:rsid w:val="00E31C1B"/>
    <w:rsid w:val="00E325B1"/>
    <w:rsid w:val="00E32A9D"/>
    <w:rsid w:val="00E337BD"/>
    <w:rsid w:val="00E35009"/>
    <w:rsid w:val="00E427E0"/>
    <w:rsid w:val="00E46D49"/>
    <w:rsid w:val="00E47413"/>
    <w:rsid w:val="00E52EDE"/>
    <w:rsid w:val="00E54676"/>
    <w:rsid w:val="00E56B9F"/>
    <w:rsid w:val="00E61BBC"/>
    <w:rsid w:val="00E66F42"/>
    <w:rsid w:val="00E70346"/>
    <w:rsid w:val="00E7530C"/>
    <w:rsid w:val="00E75F98"/>
    <w:rsid w:val="00E77146"/>
    <w:rsid w:val="00E8017D"/>
    <w:rsid w:val="00E835F3"/>
    <w:rsid w:val="00E94CB3"/>
    <w:rsid w:val="00EB1F8A"/>
    <w:rsid w:val="00EB3F10"/>
    <w:rsid w:val="00EB4778"/>
    <w:rsid w:val="00EB5E29"/>
    <w:rsid w:val="00EC1250"/>
    <w:rsid w:val="00EC1B22"/>
    <w:rsid w:val="00EC20EB"/>
    <w:rsid w:val="00ED0CC5"/>
    <w:rsid w:val="00ED1536"/>
    <w:rsid w:val="00ED353E"/>
    <w:rsid w:val="00ED5704"/>
    <w:rsid w:val="00EE4EBE"/>
    <w:rsid w:val="00EF7E36"/>
    <w:rsid w:val="00F00152"/>
    <w:rsid w:val="00F038A4"/>
    <w:rsid w:val="00F07517"/>
    <w:rsid w:val="00F16F4F"/>
    <w:rsid w:val="00F20954"/>
    <w:rsid w:val="00F20F6A"/>
    <w:rsid w:val="00F23609"/>
    <w:rsid w:val="00F257F9"/>
    <w:rsid w:val="00F2658F"/>
    <w:rsid w:val="00F43806"/>
    <w:rsid w:val="00F43C3C"/>
    <w:rsid w:val="00F446C5"/>
    <w:rsid w:val="00F45D9C"/>
    <w:rsid w:val="00F5224F"/>
    <w:rsid w:val="00F53E6F"/>
    <w:rsid w:val="00F568AE"/>
    <w:rsid w:val="00F56D1E"/>
    <w:rsid w:val="00F618F4"/>
    <w:rsid w:val="00F61A7B"/>
    <w:rsid w:val="00F63181"/>
    <w:rsid w:val="00F65781"/>
    <w:rsid w:val="00F667E2"/>
    <w:rsid w:val="00F6791E"/>
    <w:rsid w:val="00F729DB"/>
    <w:rsid w:val="00F73D89"/>
    <w:rsid w:val="00F80B0A"/>
    <w:rsid w:val="00F85C4D"/>
    <w:rsid w:val="00F9655E"/>
    <w:rsid w:val="00FA39F4"/>
    <w:rsid w:val="00FA3E32"/>
    <w:rsid w:val="00FA49C5"/>
    <w:rsid w:val="00FA4A14"/>
    <w:rsid w:val="00FA62D7"/>
    <w:rsid w:val="00FA7550"/>
    <w:rsid w:val="00FC3DAB"/>
    <w:rsid w:val="00FC6C1B"/>
    <w:rsid w:val="00FD008B"/>
    <w:rsid w:val="00FD1E06"/>
    <w:rsid w:val="00FD308E"/>
    <w:rsid w:val="00FD36A5"/>
    <w:rsid w:val="00FD4F75"/>
    <w:rsid w:val="00FD61C1"/>
    <w:rsid w:val="00FE0913"/>
    <w:rsid w:val="00FE53F9"/>
    <w:rsid w:val="00FE64FF"/>
    <w:rsid w:val="00FE6D85"/>
    <w:rsid w:val="00FE781E"/>
    <w:rsid w:val="00FF3241"/>
    <w:rsid w:val="00FF3BC9"/>
    <w:rsid w:val="00FF4F86"/>
    <w:rsid w:val="00FF5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265D5"/>
  <w15:chartTrackingRefBased/>
  <w15:docId w15:val="{263F52D2-1F51-A547-803C-E38C2F7C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1C1A"/>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EB4778"/>
    <w:pPr>
      <w:keepNext/>
      <w:keepLines/>
      <w:numPr>
        <w:numId w:val="3"/>
      </w:numPr>
      <w:pBdr>
        <w:bottom w:val="single" w:sz="4" w:space="1" w:color="807F8A" w:themeColor="text1" w:themeTint="A6"/>
      </w:pBdr>
      <w:spacing w:before="360" w:after="160" w:line="259" w:lineRule="auto"/>
      <w:outlineLvl w:val="0"/>
    </w:pPr>
    <w:rPr>
      <w:rFonts w:asciiTheme="majorHAnsi" w:eastAsiaTheme="majorEastAsia" w:hAnsiTheme="majorHAnsi" w:cstheme="majorBidi"/>
      <w:b/>
      <w:bCs/>
      <w:smallCaps/>
      <w:color w:val="414046" w:themeColor="text1"/>
      <w:sz w:val="36"/>
      <w:szCs w:val="36"/>
      <w:lang w:val="en-GB"/>
    </w:rPr>
  </w:style>
  <w:style w:type="paragraph" w:styleId="Heading2">
    <w:name w:val="heading 2"/>
    <w:basedOn w:val="Normal"/>
    <w:next w:val="Normal"/>
    <w:link w:val="Heading2Char"/>
    <w:uiPriority w:val="9"/>
    <w:unhideWhenUsed/>
    <w:qFormat/>
    <w:rsid w:val="00EB4778"/>
    <w:pPr>
      <w:keepNext/>
      <w:keepLines/>
      <w:numPr>
        <w:ilvl w:val="1"/>
        <w:numId w:val="3"/>
      </w:numPr>
      <w:spacing w:before="360" w:line="259" w:lineRule="auto"/>
      <w:outlineLvl w:val="1"/>
    </w:pPr>
    <w:rPr>
      <w:rFonts w:asciiTheme="majorHAnsi" w:eastAsiaTheme="majorEastAsia" w:hAnsiTheme="majorHAnsi" w:cstheme="majorBidi"/>
      <w:b/>
      <w:bCs/>
      <w:smallCaps/>
      <w:color w:val="414046" w:themeColor="text1"/>
      <w:sz w:val="28"/>
      <w:szCs w:val="28"/>
      <w:lang w:val="en-GB"/>
    </w:rPr>
  </w:style>
  <w:style w:type="paragraph" w:styleId="Heading3">
    <w:name w:val="heading 3"/>
    <w:basedOn w:val="Normal"/>
    <w:next w:val="Normal"/>
    <w:link w:val="Heading3Char"/>
    <w:uiPriority w:val="9"/>
    <w:unhideWhenUsed/>
    <w:qFormat/>
    <w:rsid w:val="00EB4778"/>
    <w:pPr>
      <w:keepNext/>
      <w:keepLines/>
      <w:numPr>
        <w:ilvl w:val="2"/>
        <w:numId w:val="3"/>
      </w:numPr>
      <w:spacing w:before="200" w:line="259" w:lineRule="auto"/>
      <w:ind w:left="720"/>
      <w:outlineLvl w:val="2"/>
    </w:pPr>
    <w:rPr>
      <w:rFonts w:asciiTheme="majorHAnsi" w:eastAsiaTheme="majorEastAsia" w:hAnsiTheme="majorHAnsi" w:cstheme="majorBidi"/>
      <w:b/>
      <w:bCs/>
      <w:color w:val="414046" w:themeColor="text1"/>
      <w:sz w:val="22"/>
      <w:szCs w:val="22"/>
      <w:lang w:val="en-GB"/>
    </w:rPr>
  </w:style>
  <w:style w:type="paragraph" w:styleId="Heading4">
    <w:name w:val="heading 4"/>
    <w:basedOn w:val="Normal"/>
    <w:next w:val="Normal"/>
    <w:link w:val="Heading4Char"/>
    <w:uiPriority w:val="9"/>
    <w:semiHidden/>
    <w:unhideWhenUsed/>
    <w:qFormat/>
    <w:rsid w:val="00EB4778"/>
    <w:pPr>
      <w:keepNext/>
      <w:keepLines/>
      <w:numPr>
        <w:ilvl w:val="3"/>
        <w:numId w:val="3"/>
      </w:numPr>
      <w:spacing w:before="200" w:line="259" w:lineRule="auto"/>
      <w:outlineLvl w:val="3"/>
    </w:pPr>
    <w:rPr>
      <w:rFonts w:asciiTheme="majorHAnsi" w:eastAsiaTheme="majorEastAsia" w:hAnsiTheme="majorHAnsi" w:cstheme="majorBidi"/>
      <w:b/>
      <w:bCs/>
      <w:i/>
      <w:iCs/>
      <w:color w:val="414046" w:themeColor="text1"/>
      <w:sz w:val="22"/>
      <w:szCs w:val="22"/>
      <w:lang w:val="en-GB"/>
    </w:rPr>
  </w:style>
  <w:style w:type="paragraph" w:styleId="Heading5">
    <w:name w:val="heading 5"/>
    <w:basedOn w:val="Normal"/>
    <w:next w:val="Normal"/>
    <w:link w:val="Heading5Char"/>
    <w:uiPriority w:val="9"/>
    <w:semiHidden/>
    <w:unhideWhenUsed/>
    <w:qFormat/>
    <w:rsid w:val="00EB4778"/>
    <w:pPr>
      <w:keepNext/>
      <w:keepLines/>
      <w:numPr>
        <w:ilvl w:val="4"/>
        <w:numId w:val="3"/>
      </w:numPr>
      <w:spacing w:before="200" w:line="259" w:lineRule="auto"/>
      <w:ind w:left="3600" w:hanging="360"/>
      <w:outlineLvl w:val="4"/>
    </w:pPr>
    <w:rPr>
      <w:rFonts w:asciiTheme="majorHAnsi" w:eastAsiaTheme="majorEastAsia" w:hAnsiTheme="majorHAnsi" w:cstheme="majorBidi"/>
      <w:color w:val="303034" w:themeColor="text2" w:themeShade="BF"/>
      <w:sz w:val="22"/>
      <w:szCs w:val="22"/>
      <w:lang w:val="en-GB"/>
    </w:rPr>
  </w:style>
  <w:style w:type="paragraph" w:styleId="Heading6">
    <w:name w:val="heading 6"/>
    <w:basedOn w:val="Normal"/>
    <w:next w:val="Normal"/>
    <w:link w:val="Heading6Char"/>
    <w:uiPriority w:val="9"/>
    <w:semiHidden/>
    <w:unhideWhenUsed/>
    <w:qFormat/>
    <w:rsid w:val="00EB4778"/>
    <w:pPr>
      <w:keepNext/>
      <w:keepLines/>
      <w:numPr>
        <w:ilvl w:val="5"/>
        <w:numId w:val="3"/>
      </w:numPr>
      <w:spacing w:before="200" w:line="259" w:lineRule="auto"/>
      <w:ind w:left="4320" w:hanging="360"/>
      <w:outlineLvl w:val="5"/>
    </w:pPr>
    <w:rPr>
      <w:rFonts w:asciiTheme="majorHAnsi" w:eastAsiaTheme="majorEastAsia" w:hAnsiTheme="majorHAnsi" w:cstheme="majorBidi"/>
      <w:i/>
      <w:iCs/>
      <w:color w:val="303034" w:themeColor="text2" w:themeShade="BF"/>
      <w:sz w:val="22"/>
      <w:szCs w:val="22"/>
      <w:lang w:val="en-GB"/>
    </w:rPr>
  </w:style>
  <w:style w:type="paragraph" w:styleId="Heading7">
    <w:name w:val="heading 7"/>
    <w:basedOn w:val="Normal"/>
    <w:next w:val="Normal"/>
    <w:link w:val="Heading7Char"/>
    <w:uiPriority w:val="9"/>
    <w:semiHidden/>
    <w:unhideWhenUsed/>
    <w:qFormat/>
    <w:rsid w:val="00EB4778"/>
    <w:pPr>
      <w:keepNext/>
      <w:keepLines/>
      <w:numPr>
        <w:ilvl w:val="6"/>
        <w:numId w:val="3"/>
      </w:numPr>
      <w:spacing w:before="200" w:line="259" w:lineRule="auto"/>
      <w:ind w:left="5040" w:hanging="360"/>
      <w:outlineLvl w:val="6"/>
    </w:pPr>
    <w:rPr>
      <w:rFonts w:asciiTheme="majorHAnsi" w:eastAsiaTheme="majorEastAsia" w:hAnsiTheme="majorHAnsi" w:cstheme="majorBidi"/>
      <w:i/>
      <w:iCs/>
      <w:color w:val="6E6D77" w:themeColor="text1" w:themeTint="BF"/>
      <w:sz w:val="22"/>
      <w:szCs w:val="22"/>
      <w:lang w:val="en-GB"/>
    </w:rPr>
  </w:style>
  <w:style w:type="paragraph" w:styleId="Heading8">
    <w:name w:val="heading 8"/>
    <w:basedOn w:val="Normal"/>
    <w:next w:val="Normal"/>
    <w:link w:val="Heading8Char"/>
    <w:uiPriority w:val="9"/>
    <w:semiHidden/>
    <w:unhideWhenUsed/>
    <w:qFormat/>
    <w:rsid w:val="00EB4778"/>
    <w:pPr>
      <w:keepNext/>
      <w:keepLines/>
      <w:numPr>
        <w:ilvl w:val="7"/>
        <w:numId w:val="3"/>
      </w:numPr>
      <w:spacing w:before="200" w:line="259" w:lineRule="auto"/>
      <w:ind w:left="5760" w:hanging="360"/>
      <w:outlineLvl w:val="7"/>
    </w:pPr>
    <w:rPr>
      <w:rFonts w:asciiTheme="majorHAnsi" w:eastAsiaTheme="majorEastAsia" w:hAnsiTheme="majorHAnsi" w:cstheme="majorBidi"/>
      <w:color w:val="6E6D77" w:themeColor="text1" w:themeTint="BF"/>
      <w:sz w:val="20"/>
      <w:szCs w:val="20"/>
      <w:lang w:val="en-GB"/>
    </w:rPr>
  </w:style>
  <w:style w:type="paragraph" w:styleId="Heading9">
    <w:name w:val="heading 9"/>
    <w:basedOn w:val="Normal"/>
    <w:next w:val="Normal"/>
    <w:link w:val="Heading9Char"/>
    <w:uiPriority w:val="9"/>
    <w:semiHidden/>
    <w:unhideWhenUsed/>
    <w:qFormat/>
    <w:rsid w:val="00EB4778"/>
    <w:pPr>
      <w:keepNext/>
      <w:keepLines/>
      <w:numPr>
        <w:ilvl w:val="8"/>
        <w:numId w:val="3"/>
      </w:numPr>
      <w:spacing w:before="200" w:line="259" w:lineRule="auto"/>
      <w:ind w:left="6480" w:hanging="360"/>
      <w:outlineLvl w:val="8"/>
    </w:pPr>
    <w:rPr>
      <w:rFonts w:asciiTheme="majorHAnsi" w:eastAsiaTheme="majorEastAsia" w:hAnsiTheme="majorHAnsi" w:cstheme="majorBidi"/>
      <w:i/>
      <w:iCs/>
      <w:color w:val="6E6D77" w:themeColor="text1" w:themeTint="BF"/>
      <w:sz w:val="20"/>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333F"/>
    <w:pPr>
      <w:jc w:val="both"/>
    </w:pPr>
    <w:rPr>
      <w:rFonts w:eastAsiaTheme="minorEastAsia"/>
      <w:sz w:val="22"/>
      <w:szCs w:val="22"/>
    </w:rPr>
  </w:style>
  <w:style w:type="paragraph" w:styleId="ListParagraph">
    <w:name w:val="List Paragraph"/>
    <w:basedOn w:val="Normal"/>
    <w:uiPriority w:val="34"/>
    <w:qFormat/>
    <w:rsid w:val="00A6074C"/>
    <w:pPr>
      <w:ind w:left="720"/>
      <w:contextualSpacing/>
    </w:pPr>
    <w:rPr>
      <w:lang w:val="en-CA"/>
    </w:rPr>
  </w:style>
  <w:style w:type="character" w:styleId="Hyperlink">
    <w:name w:val="Hyperlink"/>
    <w:basedOn w:val="DefaultParagraphFont"/>
    <w:uiPriority w:val="99"/>
    <w:unhideWhenUsed/>
    <w:rsid w:val="00E23A9F"/>
    <w:rPr>
      <w:rFonts w:ascii="Poppins" w:hAnsi="Poppins"/>
      <w:b w:val="0"/>
      <w:i w:val="0"/>
      <w:color w:val="001E61"/>
      <w:sz w:val="13"/>
      <w:u w:val="single"/>
    </w:rPr>
  </w:style>
  <w:style w:type="paragraph" w:styleId="BalloonText">
    <w:name w:val="Balloon Text"/>
    <w:basedOn w:val="Normal"/>
    <w:link w:val="BalloonTextChar"/>
    <w:uiPriority w:val="99"/>
    <w:semiHidden/>
    <w:unhideWhenUsed/>
    <w:rsid w:val="00A83A7A"/>
    <w:rPr>
      <w:sz w:val="18"/>
      <w:szCs w:val="18"/>
    </w:rPr>
  </w:style>
  <w:style w:type="character" w:customStyle="1" w:styleId="BalloonTextChar">
    <w:name w:val="Balloon Text Char"/>
    <w:basedOn w:val="DefaultParagraphFont"/>
    <w:link w:val="BalloonText"/>
    <w:uiPriority w:val="99"/>
    <w:semiHidden/>
    <w:rsid w:val="00A83A7A"/>
    <w:rPr>
      <w:rFonts w:ascii="Times New Roman" w:hAnsi="Times New Roman" w:cs="Times New Roman"/>
      <w:sz w:val="18"/>
      <w:szCs w:val="18"/>
      <w:lang w:val="en-US"/>
    </w:rPr>
  </w:style>
  <w:style w:type="character" w:styleId="FootnoteReference">
    <w:name w:val="footnote reference"/>
    <w:aliases w:val="ftref,4_G,4_G Char Char,Footnote number,Footnotes refss,Footnote Ref,16 Point,Superscript 6 Point,Footnote Refernece,Appel note de bas de p.,[0],Texto de nota al pie,referencia nota al pie,BVI fnr,Footnote text,callout,Ref,fr"/>
    <w:uiPriority w:val="99"/>
    <w:unhideWhenUsed/>
    <w:qFormat/>
    <w:rsid w:val="008C5585"/>
    <w:rPr>
      <w:rFonts w:ascii="Poppins" w:hAnsi="Poppins"/>
      <w:b w:val="0"/>
      <w:i w:val="0"/>
      <w:caps w:val="0"/>
      <w:smallCaps w:val="0"/>
      <w:strike w:val="0"/>
      <w:dstrike w:val="0"/>
      <w:vanish w:val="0"/>
      <w:color w:val="414047"/>
      <w:sz w:val="13"/>
      <w:u w:val="none"/>
      <w:vertAlign w:val="superscript"/>
    </w:rPr>
  </w:style>
  <w:style w:type="paragraph" w:customStyle="1" w:styleId="Footnote">
    <w:name w:val="Footnote"/>
    <w:basedOn w:val="FootnoteText"/>
    <w:next w:val="FootnoteText"/>
    <w:autoRedefine/>
    <w:qFormat/>
    <w:rsid w:val="00A83A7A"/>
  </w:style>
  <w:style w:type="paragraph" w:styleId="FootnoteText">
    <w:name w:val="footnote text"/>
    <w:aliases w:val="IANSA - Footnote text,Footnote Text Char Char,Footnote Text1 Char,Footnote Text1 Char Char,Footnote Text Char Char Char Char Char,Footnote Text1 Char Char Char Char Char"/>
    <w:link w:val="FootnoteTextChar"/>
    <w:autoRedefine/>
    <w:uiPriority w:val="99"/>
    <w:unhideWhenUsed/>
    <w:qFormat/>
    <w:rsid w:val="00A02588"/>
    <w:rPr>
      <w:sz w:val="18"/>
      <w:szCs w:val="18"/>
      <w:lang w:val="en-US"/>
    </w:rPr>
  </w:style>
  <w:style w:type="character" w:customStyle="1" w:styleId="FootnoteTextChar">
    <w:name w:val="Footnote Text Char"/>
    <w:aliases w:val="IANSA - Footnote text Char,Footnote Text Char Char Char,Footnote Text1 Char Char1,Footnote Text1 Char Char Char,Footnote Text Char Char Char Char Char Char,Footnote Text1 Char Char Char Char Char Char"/>
    <w:basedOn w:val="DefaultParagraphFont"/>
    <w:link w:val="FootnoteText"/>
    <w:uiPriority w:val="99"/>
    <w:rsid w:val="00A02588"/>
    <w:rPr>
      <w:sz w:val="18"/>
      <w:szCs w:val="18"/>
      <w:lang w:val="en-US"/>
    </w:rPr>
  </w:style>
  <w:style w:type="paragraph" w:styleId="EndnoteText">
    <w:name w:val="endnote text"/>
    <w:basedOn w:val="Normal"/>
    <w:link w:val="EndnoteTextChar"/>
    <w:semiHidden/>
    <w:rsid w:val="009E39D9"/>
    <w:rPr>
      <w:rFonts w:cs="Arial"/>
      <w:sz w:val="20"/>
      <w:szCs w:val="20"/>
      <w:lang w:val="en-GB"/>
    </w:rPr>
  </w:style>
  <w:style w:type="character" w:customStyle="1" w:styleId="EndnoteTextChar">
    <w:name w:val="Endnote Text Char"/>
    <w:basedOn w:val="DefaultParagraphFont"/>
    <w:link w:val="EndnoteText"/>
    <w:semiHidden/>
    <w:rsid w:val="009E39D9"/>
    <w:rPr>
      <w:rFonts w:ascii="Times New Roman" w:eastAsia="Times New Roman" w:hAnsi="Times New Roman" w:cs="Arial"/>
      <w:sz w:val="20"/>
      <w:szCs w:val="20"/>
    </w:rPr>
  </w:style>
  <w:style w:type="character" w:styleId="EndnoteReference">
    <w:name w:val="endnote reference"/>
    <w:semiHidden/>
    <w:rsid w:val="009E39D9"/>
    <w:rPr>
      <w:vertAlign w:val="superscript"/>
    </w:rPr>
  </w:style>
  <w:style w:type="paragraph" w:styleId="Header">
    <w:name w:val="header"/>
    <w:basedOn w:val="Normal"/>
    <w:link w:val="HeaderChar"/>
    <w:uiPriority w:val="99"/>
    <w:unhideWhenUsed/>
    <w:rsid w:val="009E3C59"/>
    <w:pPr>
      <w:tabs>
        <w:tab w:val="center" w:pos="4513"/>
        <w:tab w:val="right" w:pos="9026"/>
      </w:tabs>
    </w:pPr>
  </w:style>
  <w:style w:type="character" w:customStyle="1" w:styleId="HeaderChar">
    <w:name w:val="Header Char"/>
    <w:basedOn w:val="DefaultParagraphFont"/>
    <w:link w:val="Header"/>
    <w:uiPriority w:val="99"/>
    <w:rsid w:val="009E3C59"/>
    <w:rPr>
      <w:lang w:val="en-US"/>
    </w:rPr>
  </w:style>
  <w:style w:type="character" w:styleId="PageNumber">
    <w:name w:val="page number"/>
    <w:basedOn w:val="IANSABodytextBold"/>
    <w:uiPriority w:val="99"/>
    <w:semiHidden/>
    <w:unhideWhenUsed/>
    <w:rsid w:val="00124433"/>
    <w:rPr>
      <w:rFonts w:ascii="Poppins" w:hAnsi="Poppins" w:cs="Poppins"/>
      <w:b/>
      <w:bCs/>
      <w:color w:val="1ECAD3"/>
      <w:sz w:val="20"/>
    </w:rPr>
  </w:style>
  <w:style w:type="character" w:customStyle="1" w:styleId="UnresolvedMention1">
    <w:name w:val="Unresolved Mention1"/>
    <w:basedOn w:val="DefaultParagraphFont"/>
    <w:uiPriority w:val="99"/>
    <w:semiHidden/>
    <w:unhideWhenUsed/>
    <w:rsid w:val="00CC79A1"/>
    <w:rPr>
      <w:color w:val="605E5C"/>
      <w:shd w:val="clear" w:color="auto" w:fill="E1DFDD"/>
    </w:rPr>
  </w:style>
  <w:style w:type="character" w:customStyle="1" w:styleId="Heading1Char">
    <w:name w:val="Heading 1 Char"/>
    <w:basedOn w:val="DefaultParagraphFont"/>
    <w:link w:val="Heading1"/>
    <w:uiPriority w:val="9"/>
    <w:rsid w:val="00EB4778"/>
    <w:rPr>
      <w:rFonts w:asciiTheme="majorHAnsi" w:eastAsiaTheme="majorEastAsia" w:hAnsiTheme="majorHAnsi" w:cstheme="majorBidi"/>
      <w:b/>
      <w:bCs/>
      <w:smallCaps/>
      <w:color w:val="414046" w:themeColor="text1"/>
      <w:sz w:val="36"/>
      <w:szCs w:val="36"/>
    </w:rPr>
  </w:style>
  <w:style w:type="character" w:customStyle="1" w:styleId="Heading2Char">
    <w:name w:val="Heading 2 Char"/>
    <w:basedOn w:val="DefaultParagraphFont"/>
    <w:link w:val="Heading2"/>
    <w:uiPriority w:val="9"/>
    <w:rsid w:val="00EB4778"/>
    <w:rPr>
      <w:rFonts w:asciiTheme="majorHAnsi" w:eastAsiaTheme="majorEastAsia" w:hAnsiTheme="majorHAnsi" w:cstheme="majorBidi"/>
      <w:b/>
      <w:bCs/>
      <w:smallCaps/>
      <w:color w:val="414046" w:themeColor="text1"/>
      <w:sz w:val="28"/>
      <w:szCs w:val="28"/>
    </w:rPr>
  </w:style>
  <w:style w:type="character" w:customStyle="1" w:styleId="Heading3Char">
    <w:name w:val="Heading 3 Char"/>
    <w:basedOn w:val="DefaultParagraphFont"/>
    <w:link w:val="Heading3"/>
    <w:uiPriority w:val="9"/>
    <w:rsid w:val="00EB4778"/>
    <w:rPr>
      <w:rFonts w:asciiTheme="majorHAnsi" w:eastAsiaTheme="majorEastAsia" w:hAnsiTheme="majorHAnsi" w:cstheme="majorBidi"/>
      <w:b/>
      <w:bCs/>
      <w:color w:val="414046" w:themeColor="text1"/>
      <w:sz w:val="22"/>
      <w:szCs w:val="22"/>
    </w:rPr>
  </w:style>
  <w:style w:type="character" w:customStyle="1" w:styleId="Heading4Char">
    <w:name w:val="Heading 4 Char"/>
    <w:basedOn w:val="DefaultParagraphFont"/>
    <w:link w:val="Heading4"/>
    <w:uiPriority w:val="9"/>
    <w:semiHidden/>
    <w:rsid w:val="00EB4778"/>
    <w:rPr>
      <w:rFonts w:asciiTheme="majorHAnsi" w:eastAsiaTheme="majorEastAsia" w:hAnsiTheme="majorHAnsi" w:cstheme="majorBidi"/>
      <w:b/>
      <w:bCs/>
      <w:i/>
      <w:iCs/>
      <w:color w:val="414046" w:themeColor="text1"/>
      <w:sz w:val="22"/>
      <w:szCs w:val="22"/>
    </w:rPr>
  </w:style>
  <w:style w:type="character" w:customStyle="1" w:styleId="Heading5Char">
    <w:name w:val="Heading 5 Char"/>
    <w:basedOn w:val="DefaultParagraphFont"/>
    <w:link w:val="Heading5"/>
    <w:uiPriority w:val="9"/>
    <w:semiHidden/>
    <w:rsid w:val="00EB4778"/>
    <w:rPr>
      <w:rFonts w:asciiTheme="majorHAnsi" w:eastAsiaTheme="majorEastAsia" w:hAnsiTheme="majorHAnsi" w:cstheme="majorBidi"/>
      <w:color w:val="303034" w:themeColor="text2" w:themeShade="BF"/>
      <w:sz w:val="22"/>
      <w:szCs w:val="22"/>
    </w:rPr>
  </w:style>
  <w:style w:type="character" w:customStyle="1" w:styleId="Heading6Char">
    <w:name w:val="Heading 6 Char"/>
    <w:basedOn w:val="DefaultParagraphFont"/>
    <w:link w:val="Heading6"/>
    <w:uiPriority w:val="9"/>
    <w:semiHidden/>
    <w:rsid w:val="00EB4778"/>
    <w:rPr>
      <w:rFonts w:asciiTheme="majorHAnsi" w:eastAsiaTheme="majorEastAsia" w:hAnsiTheme="majorHAnsi" w:cstheme="majorBidi"/>
      <w:i/>
      <w:iCs/>
      <w:color w:val="303034" w:themeColor="text2" w:themeShade="BF"/>
      <w:sz w:val="22"/>
      <w:szCs w:val="22"/>
    </w:rPr>
  </w:style>
  <w:style w:type="character" w:customStyle="1" w:styleId="Heading7Char">
    <w:name w:val="Heading 7 Char"/>
    <w:basedOn w:val="DefaultParagraphFont"/>
    <w:link w:val="Heading7"/>
    <w:uiPriority w:val="9"/>
    <w:semiHidden/>
    <w:rsid w:val="00EB4778"/>
    <w:rPr>
      <w:rFonts w:asciiTheme="majorHAnsi" w:eastAsiaTheme="majorEastAsia" w:hAnsiTheme="majorHAnsi" w:cstheme="majorBidi"/>
      <w:i/>
      <w:iCs/>
      <w:color w:val="6E6D77" w:themeColor="text1" w:themeTint="BF"/>
      <w:sz w:val="22"/>
      <w:szCs w:val="22"/>
    </w:rPr>
  </w:style>
  <w:style w:type="character" w:customStyle="1" w:styleId="Heading8Char">
    <w:name w:val="Heading 8 Char"/>
    <w:basedOn w:val="DefaultParagraphFont"/>
    <w:link w:val="Heading8"/>
    <w:uiPriority w:val="9"/>
    <w:semiHidden/>
    <w:rsid w:val="00EB4778"/>
    <w:rPr>
      <w:rFonts w:asciiTheme="majorHAnsi" w:eastAsiaTheme="majorEastAsia" w:hAnsiTheme="majorHAnsi" w:cstheme="majorBidi"/>
      <w:color w:val="6E6D77" w:themeColor="text1" w:themeTint="BF"/>
      <w:sz w:val="20"/>
      <w:szCs w:val="20"/>
    </w:rPr>
  </w:style>
  <w:style w:type="character" w:customStyle="1" w:styleId="Heading9Char">
    <w:name w:val="Heading 9 Char"/>
    <w:basedOn w:val="DefaultParagraphFont"/>
    <w:link w:val="Heading9"/>
    <w:uiPriority w:val="9"/>
    <w:semiHidden/>
    <w:rsid w:val="00EB4778"/>
    <w:rPr>
      <w:rFonts w:asciiTheme="majorHAnsi" w:eastAsiaTheme="majorEastAsia" w:hAnsiTheme="majorHAnsi" w:cstheme="majorBidi"/>
      <w:i/>
      <w:iCs/>
      <w:color w:val="6E6D77" w:themeColor="text1" w:themeTint="BF"/>
      <w:sz w:val="20"/>
      <w:szCs w:val="20"/>
    </w:rPr>
  </w:style>
  <w:style w:type="character" w:styleId="FollowedHyperlink">
    <w:name w:val="FollowedHyperlink"/>
    <w:basedOn w:val="DefaultParagraphFont"/>
    <w:uiPriority w:val="99"/>
    <w:semiHidden/>
    <w:unhideWhenUsed/>
    <w:rsid w:val="00EB4778"/>
    <w:rPr>
      <w:color w:val="001D61" w:themeColor="followedHyperlink"/>
      <w:u w:val="single"/>
    </w:rPr>
  </w:style>
  <w:style w:type="character" w:styleId="CommentReference">
    <w:name w:val="annotation reference"/>
    <w:basedOn w:val="DefaultParagraphFont"/>
    <w:uiPriority w:val="99"/>
    <w:semiHidden/>
    <w:unhideWhenUsed/>
    <w:rsid w:val="004E2FBD"/>
    <w:rPr>
      <w:sz w:val="16"/>
      <w:szCs w:val="16"/>
    </w:rPr>
  </w:style>
  <w:style w:type="paragraph" w:styleId="CommentText">
    <w:name w:val="annotation text"/>
    <w:basedOn w:val="Normal"/>
    <w:link w:val="CommentTextChar"/>
    <w:uiPriority w:val="99"/>
    <w:semiHidden/>
    <w:unhideWhenUsed/>
    <w:rsid w:val="004E2FBD"/>
    <w:rPr>
      <w:sz w:val="20"/>
      <w:szCs w:val="20"/>
    </w:rPr>
  </w:style>
  <w:style w:type="character" w:customStyle="1" w:styleId="CommentTextChar">
    <w:name w:val="Comment Text Char"/>
    <w:basedOn w:val="DefaultParagraphFont"/>
    <w:link w:val="CommentText"/>
    <w:uiPriority w:val="99"/>
    <w:semiHidden/>
    <w:rsid w:val="004E2FBD"/>
    <w:rPr>
      <w:sz w:val="20"/>
      <w:szCs w:val="20"/>
      <w:lang w:val="en-US"/>
    </w:rPr>
  </w:style>
  <w:style w:type="paragraph" w:styleId="CommentSubject">
    <w:name w:val="annotation subject"/>
    <w:basedOn w:val="CommentText"/>
    <w:next w:val="CommentText"/>
    <w:link w:val="CommentSubjectChar"/>
    <w:uiPriority w:val="99"/>
    <w:semiHidden/>
    <w:unhideWhenUsed/>
    <w:rsid w:val="004E2FBD"/>
    <w:rPr>
      <w:b/>
      <w:bCs/>
    </w:rPr>
  </w:style>
  <w:style w:type="character" w:customStyle="1" w:styleId="CommentSubjectChar">
    <w:name w:val="Comment Subject Char"/>
    <w:basedOn w:val="CommentTextChar"/>
    <w:link w:val="CommentSubject"/>
    <w:uiPriority w:val="99"/>
    <w:semiHidden/>
    <w:rsid w:val="004E2FBD"/>
    <w:rPr>
      <w:b/>
      <w:bCs/>
      <w:sz w:val="20"/>
      <w:szCs w:val="20"/>
      <w:lang w:val="en-US"/>
    </w:rPr>
  </w:style>
  <w:style w:type="paragraph" w:styleId="NormalWeb">
    <w:name w:val="Normal (Web)"/>
    <w:basedOn w:val="Normal"/>
    <w:uiPriority w:val="99"/>
    <w:semiHidden/>
    <w:unhideWhenUsed/>
    <w:rsid w:val="0018446D"/>
    <w:pPr>
      <w:spacing w:before="100" w:beforeAutospacing="1" w:after="100" w:afterAutospacing="1"/>
    </w:pPr>
    <w:rPr>
      <w:lang w:val="en-GB" w:eastAsia="en-GB"/>
    </w:rPr>
  </w:style>
  <w:style w:type="paragraph" w:styleId="Revision">
    <w:name w:val="Revision"/>
    <w:hidden/>
    <w:uiPriority w:val="99"/>
    <w:semiHidden/>
    <w:rsid w:val="00A77F2E"/>
    <w:rPr>
      <w:lang w:val="en-US"/>
    </w:rPr>
  </w:style>
  <w:style w:type="paragraph" w:customStyle="1" w:styleId="IANSA-MainTitle">
    <w:name w:val="IANSA - Main Title"/>
    <w:autoRedefine/>
    <w:qFormat/>
    <w:rsid w:val="00215FD3"/>
    <w:pPr>
      <w:spacing w:after="400" w:line="700" w:lineRule="exact"/>
    </w:pPr>
    <w:rPr>
      <w:rFonts w:ascii="Poppins" w:hAnsi="Poppins" w:cs="Poppins"/>
      <w:b/>
      <w:bCs/>
      <w:color w:val="001E61"/>
      <w:sz w:val="58"/>
      <w:szCs w:val="58"/>
      <w:lang w:val="en-US"/>
    </w:rPr>
  </w:style>
  <w:style w:type="paragraph" w:customStyle="1" w:styleId="IANSA-QuoteStyle">
    <w:name w:val="IANSA - Quote Style"/>
    <w:autoRedefine/>
    <w:qFormat/>
    <w:rsid w:val="000B380B"/>
    <w:pPr>
      <w:spacing w:before="200" w:after="120" w:line="210" w:lineRule="exact"/>
    </w:pPr>
    <w:rPr>
      <w:rFonts w:ascii="Poppins SemiBold" w:eastAsia="Times New Roman" w:hAnsi="Poppins SemiBold" w:cs="Poppins SemiBold"/>
      <w:b/>
      <w:bCs/>
      <w:i/>
      <w:iCs/>
      <w:color w:val="F5333F"/>
      <w:sz w:val="18"/>
      <w:szCs w:val="18"/>
      <w:lang w:eastAsia="en-GB"/>
    </w:rPr>
  </w:style>
  <w:style w:type="paragraph" w:customStyle="1" w:styleId="IANSA-QuoteSourceName">
    <w:name w:val="IANSA - Quote Source Name"/>
    <w:autoRedefine/>
    <w:qFormat/>
    <w:rsid w:val="000B380B"/>
    <w:pPr>
      <w:spacing w:after="100"/>
    </w:pPr>
    <w:rPr>
      <w:rFonts w:ascii="Poppins" w:eastAsia="Times New Roman" w:hAnsi="Poppins" w:cs="Poppins"/>
      <w:b/>
      <w:bCs/>
      <w:color w:val="F5333F"/>
      <w:sz w:val="13"/>
      <w:szCs w:val="13"/>
      <w:lang w:eastAsia="en-GB"/>
    </w:rPr>
  </w:style>
  <w:style w:type="paragraph" w:customStyle="1" w:styleId="IANSA-Bodytext">
    <w:name w:val="IANSA - Body text"/>
    <w:link w:val="IANSA-BodytextChar"/>
    <w:autoRedefine/>
    <w:qFormat/>
    <w:rsid w:val="00215FD3"/>
    <w:pPr>
      <w:spacing w:after="240" w:line="220" w:lineRule="exact"/>
    </w:pPr>
    <w:rPr>
      <w:rFonts w:ascii="Poppins" w:eastAsia="Times New Roman" w:hAnsi="Poppins" w:cs="Poppins Medium"/>
      <w:color w:val="000000"/>
      <w:sz w:val="18"/>
      <w:szCs w:val="18"/>
      <w:lang w:eastAsia="en-GB"/>
    </w:rPr>
  </w:style>
  <w:style w:type="paragraph" w:customStyle="1" w:styleId="IANSA-BoldBodyCopy">
    <w:name w:val="IANSA - Bold Body Copy"/>
    <w:autoRedefine/>
    <w:qFormat/>
    <w:rsid w:val="000B380B"/>
    <w:pPr>
      <w:spacing w:after="240" w:line="220" w:lineRule="exact"/>
    </w:pPr>
    <w:rPr>
      <w:rFonts w:ascii="Poppins SemiBold" w:eastAsia="Times New Roman" w:hAnsi="Poppins SemiBold" w:cs="Poppins SemiBold"/>
      <w:b/>
      <w:bCs/>
      <w:color w:val="414047"/>
      <w:sz w:val="18"/>
      <w:szCs w:val="18"/>
      <w:lang w:eastAsia="en-GB"/>
    </w:rPr>
  </w:style>
  <w:style w:type="paragraph" w:customStyle="1" w:styleId="IANSA-Subheading">
    <w:name w:val="IANSA - Sub heading"/>
    <w:autoRedefine/>
    <w:qFormat/>
    <w:rsid w:val="000B380B"/>
    <w:pPr>
      <w:spacing w:after="120" w:line="264" w:lineRule="exact"/>
    </w:pPr>
    <w:rPr>
      <w:rFonts w:ascii="Poppins" w:hAnsi="Poppins" w:cs="Poppins"/>
      <w:b/>
      <w:bCs/>
      <w:color w:val="001E61"/>
      <w:sz w:val="22"/>
      <w:szCs w:val="22"/>
    </w:rPr>
  </w:style>
  <w:style w:type="paragraph" w:customStyle="1" w:styleId="IANSA-RedLine">
    <w:name w:val="IANSA - Red Line"/>
    <w:qFormat/>
    <w:rsid w:val="00075051"/>
    <w:pPr>
      <w:pBdr>
        <w:bottom w:val="single" w:sz="4" w:space="0" w:color="F5333F"/>
      </w:pBdr>
    </w:pPr>
    <w:rPr>
      <w:rFonts w:ascii="Poppins SemiBold" w:eastAsia="Times New Roman" w:hAnsi="Poppins SemiBold" w:cs="Poppins SemiBold"/>
      <w:b/>
      <w:bCs/>
      <w:i/>
      <w:iCs/>
      <w:color w:val="F5333F"/>
      <w:sz w:val="18"/>
      <w:szCs w:val="18"/>
      <w:lang w:eastAsia="en-GB"/>
    </w:rPr>
  </w:style>
  <w:style w:type="character" w:customStyle="1" w:styleId="IANSABodytextBold">
    <w:name w:val="IANSA Body text Bold"/>
    <w:uiPriority w:val="1"/>
    <w:qFormat/>
    <w:rsid w:val="006435F2"/>
    <w:rPr>
      <w:rFonts w:ascii="Poppins" w:hAnsi="Poppins" w:cs="Poppins"/>
      <w:b/>
      <w:bCs/>
    </w:rPr>
  </w:style>
  <w:style w:type="paragraph" w:customStyle="1" w:styleId="IANSA-BulletPoint1">
    <w:name w:val="IANSA - Bullet Point 1"/>
    <w:basedOn w:val="IANSA-Bodytext"/>
    <w:qFormat/>
    <w:rsid w:val="006435F2"/>
    <w:pPr>
      <w:numPr>
        <w:numId w:val="8"/>
      </w:numPr>
    </w:pPr>
  </w:style>
  <w:style w:type="paragraph" w:customStyle="1" w:styleId="IANSABulletPoint2">
    <w:name w:val="IANSA Bullet Point 2"/>
    <w:basedOn w:val="IANSA-Bodytext"/>
    <w:qFormat/>
    <w:rsid w:val="006435F2"/>
    <w:pPr>
      <w:numPr>
        <w:numId w:val="11"/>
      </w:numPr>
    </w:pPr>
  </w:style>
  <w:style w:type="paragraph" w:customStyle="1" w:styleId="IANSAInfoBox">
    <w:name w:val="IANSA Info Box"/>
    <w:autoRedefine/>
    <w:qFormat/>
    <w:rsid w:val="00150347"/>
    <w:pPr>
      <w:pBdr>
        <w:top w:val="single" w:sz="24" w:space="6" w:color="F2F2F2" w:themeColor="background1" w:themeShade="F2"/>
        <w:left w:val="single" w:sz="24" w:space="6" w:color="F2F2F2" w:themeColor="background1" w:themeShade="F2"/>
        <w:bottom w:val="single" w:sz="24" w:space="6" w:color="F2F2F2" w:themeColor="background1" w:themeShade="F2"/>
        <w:right w:val="single" w:sz="24" w:space="6" w:color="F2F2F2" w:themeColor="background1" w:themeShade="F2"/>
      </w:pBdr>
      <w:shd w:val="clear" w:color="auto" w:fill="F2F2F2" w:themeFill="background1" w:themeFillShade="F2"/>
      <w:spacing w:before="120"/>
      <w:ind w:right="170"/>
      <w:jc w:val="center"/>
    </w:pPr>
    <w:rPr>
      <w:rFonts w:ascii="Poppins" w:hAnsi="Poppins" w:cs="Poppins"/>
      <w:bCs/>
      <w:sz w:val="18"/>
      <w:szCs w:val="18"/>
    </w:rPr>
  </w:style>
  <w:style w:type="paragraph" w:customStyle="1" w:styleId="IANSAInfoBoxbody">
    <w:name w:val="IANSA Info Box body"/>
    <w:basedOn w:val="IANSA-Bodytext"/>
    <w:autoRedefine/>
    <w:qFormat/>
    <w:rsid w:val="008C4DB8"/>
    <w:pPr>
      <w:pBdr>
        <w:top w:val="single" w:sz="24" w:space="6" w:color="F2F2F2" w:themeColor="background1" w:themeShade="F2"/>
        <w:left w:val="single" w:sz="24" w:space="6" w:color="F2F2F2" w:themeColor="background1" w:themeShade="F2"/>
        <w:bottom w:val="single" w:sz="24" w:space="6" w:color="F2F2F2" w:themeColor="background1" w:themeShade="F2"/>
        <w:right w:val="single" w:sz="24" w:space="6" w:color="F2F2F2" w:themeColor="background1" w:themeShade="F2"/>
      </w:pBdr>
      <w:shd w:val="clear" w:color="auto" w:fill="F2F2F2" w:themeFill="background1" w:themeFillShade="F2"/>
      <w:ind w:left="170" w:right="170"/>
    </w:pPr>
  </w:style>
  <w:style w:type="paragraph" w:styleId="Footer">
    <w:name w:val="footer"/>
    <w:basedOn w:val="Normal"/>
    <w:link w:val="FooterChar"/>
    <w:uiPriority w:val="99"/>
    <w:unhideWhenUsed/>
    <w:rsid w:val="00434AF0"/>
    <w:pPr>
      <w:tabs>
        <w:tab w:val="center" w:pos="4513"/>
        <w:tab w:val="right" w:pos="9026"/>
      </w:tabs>
    </w:pPr>
  </w:style>
  <w:style w:type="character" w:customStyle="1" w:styleId="FooterChar">
    <w:name w:val="Footer Char"/>
    <w:basedOn w:val="DefaultParagraphFont"/>
    <w:link w:val="Footer"/>
    <w:uiPriority w:val="99"/>
    <w:rsid w:val="00434AF0"/>
    <w:rPr>
      <w:lang w:val="en-US"/>
    </w:rPr>
  </w:style>
  <w:style w:type="paragraph" w:styleId="NoSpacing">
    <w:name w:val="No Spacing"/>
    <w:link w:val="NoSpacingChar"/>
    <w:uiPriority w:val="1"/>
    <w:qFormat/>
    <w:rsid w:val="00486C98"/>
    <w:rPr>
      <w:rFonts w:eastAsiaTheme="minorEastAsia"/>
      <w:sz w:val="22"/>
      <w:szCs w:val="22"/>
      <w:lang w:val="en-US" w:eastAsia="zh-CN"/>
    </w:rPr>
  </w:style>
  <w:style w:type="character" w:customStyle="1" w:styleId="NoSpacingChar">
    <w:name w:val="No Spacing Char"/>
    <w:basedOn w:val="DefaultParagraphFont"/>
    <w:link w:val="NoSpacing"/>
    <w:uiPriority w:val="1"/>
    <w:rsid w:val="00486C98"/>
    <w:rPr>
      <w:rFonts w:eastAsiaTheme="minorEastAsia"/>
      <w:sz w:val="22"/>
      <w:szCs w:val="22"/>
      <w:lang w:val="en-US" w:eastAsia="zh-CN"/>
    </w:rPr>
  </w:style>
  <w:style w:type="paragraph" w:customStyle="1" w:styleId="IANSAHyperlink">
    <w:name w:val="IANSA Hyperlink"/>
    <w:basedOn w:val="FootnoteText"/>
    <w:link w:val="IANSAHyperlinkChar"/>
    <w:autoRedefine/>
    <w:qFormat/>
    <w:rsid w:val="009D0AA3"/>
    <w:rPr>
      <w:color w:val="F5333F"/>
      <w:u w:val="single"/>
    </w:rPr>
  </w:style>
  <w:style w:type="character" w:customStyle="1" w:styleId="IANSAHyperlinkChar">
    <w:name w:val="IANSA Hyperlink Char"/>
    <w:basedOn w:val="FootnoteTextChar"/>
    <w:link w:val="IANSAHyperlink"/>
    <w:rsid w:val="009D0AA3"/>
    <w:rPr>
      <w:rFonts w:ascii="Poppins" w:hAnsi="Poppins"/>
      <w:color w:val="F5333F"/>
      <w:sz w:val="12"/>
      <w:szCs w:val="20"/>
      <w:u w:val="single"/>
      <w:lang w:val="en-US"/>
    </w:rPr>
  </w:style>
  <w:style w:type="paragraph" w:customStyle="1" w:styleId="IANSABodyTextSemiBold">
    <w:name w:val="IANSA Body Text Semi Bold"/>
    <w:basedOn w:val="IANSA-Bodytext"/>
    <w:link w:val="IANSABodyTextSemiBoldChar"/>
    <w:qFormat/>
    <w:rsid w:val="008C5585"/>
    <w:rPr>
      <w:rFonts w:ascii="Poppins SemiBold" w:hAnsi="Poppins SemiBold"/>
      <w:color w:val="001E61"/>
    </w:rPr>
  </w:style>
  <w:style w:type="character" w:customStyle="1" w:styleId="IANSA-BodytextChar">
    <w:name w:val="IANSA - Body text Char"/>
    <w:basedOn w:val="DefaultParagraphFont"/>
    <w:link w:val="IANSA-Bodytext"/>
    <w:rsid w:val="008C5585"/>
    <w:rPr>
      <w:rFonts w:ascii="Poppins" w:eastAsia="Times New Roman" w:hAnsi="Poppins" w:cs="Poppins Medium"/>
      <w:color w:val="000000"/>
      <w:sz w:val="18"/>
      <w:szCs w:val="18"/>
      <w:lang w:eastAsia="en-GB"/>
    </w:rPr>
  </w:style>
  <w:style w:type="character" w:customStyle="1" w:styleId="IANSABodyTextSemiBoldChar">
    <w:name w:val="IANSA Body Text Semi Bold Char"/>
    <w:basedOn w:val="IANSA-BodytextChar"/>
    <w:link w:val="IANSABodyTextSemiBold"/>
    <w:rsid w:val="008C5585"/>
    <w:rPr>
      <w:rFonts w:ascii="Poppins SemiBold" w:eastAsia="Times New Roman" w:hAnsi="Poppins SemiBold" w:cs="Poppins Medium"/>
      <w:color w:val="001E61"/>
      <w:sz w:val="18"/>
      <w:szCs w:val="18"/>
      <w:lang w:eastAsia="en-GB"/>
    </w:rPr>
  </w:style>
  <w:style w:type="character" w:styleId="BookTitle">
    <w:name w:val="Book Title"/>
    <w:basedOn w:val="DefaultParagraphFont"/>
    <w:uiPriority w:val="33"/>
    <w:qFormat/>
    <w:rsid w:val="001833D1"/>
    <w:rPr>
      <w:b/>
      <w:bCs/>
      <w:i/>
      <w:iCs/>
      <w:spacing w:val="5"/>
    </w:rPr>
  </w:style>
  <w:style w:type="character" w:customStyle="1" w:styleId="preferred">
    <w:name w:val="preferred"/>
    <w:basedOn w:val="DefaultParagraphFont"/>
    <w:rsid w:val="00317025"/>
  </w:style>
  <w:style w:type="character" w:customStyle="1" w:styleId="intro">
    <w:name w:val="intro"/>
    <w:basedOn w:val="DefaultParagraphFont"/>
    <w:rsid w:val="00DA3DA7"/>
  </w:style>
  <w:style w:type="character" w:customStyle="1" w:styleId="UnresolvedMention">
    <w:name w:val="Unresolved Mention"/>
    <w:basedOn w:val="DefaultParagraphFont"/>
    <w:uiPriority w:val="99"/>
    <w:rsid w:val="004E6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9227">
      <w:bodyDiv w:val="1"/>
      <w:marLeft w:val="0"/>
      <w:marRight w:val="0"/>
      <w:marTop w:val="0"/>
      <w:marBottom w:val="0"/>
      <w:divBdr>
        <w:top w:val="none" w:sz="0" w:space="0" w:color="auto"/>
        <w:left w:val="none" w:sz="0" w:space="0" w:color="auto"/>
        <w:bottom w:val="none" w:sz="0" w:space="0" w:color="auto"/>
        <w:right w:val="none" w:sz="0" w:space="0" w:color="auto"/>
      </w:divBdr>
    </w:div>
    <w:div w:id="20054923">
      <w:bodyDiv w:val="1"/>
      <w:marLeft w:val="0"/>
      <w:marRight w:val="0"/>
      <w:marTop w:val="0"/>
      <w:marBottom w:val="0"/>
      <w:divBdr>
        <w:top w:val="none" w:sz="0" w:space="0" w:color="auto"/>
        <w:left w:val="none" w:sz="0" w:space="0" w:color="auto"/>
        <w:bottom w:val="none" w:sz="0" w:space="0" w:color="auto"/>
        <w:right w:val="none" w:sz="0" w:space="0" w:color="auto"/>
      </w:divBdr>
    </w:div>
    <w:div w:id="77488422">
      <w:bodyDiv w:val="1"/>
      <w:marLeft w:val="0"/>
      <w:marRight w:val="0"/>
      <w:marTop w:val="0"/>
      <w:marBottom w:val="0"/>
      <w:divBdr>
        <w:top w:val="none" w:sz="0" w:space="0" w:color="auto"/>
        <w:left w:val="none" w:sz="0" w:space="0" w:color="auto"/>
        <w:bottom w:val="none" w:sz="0" w:space="0" w:color="auto"/>
        <w:right w:val="none" w:sz="0" w:space="0" w:color="auto"/>
      </w:divBdr>
    </w:div>
    <w:div w:id="206184752">
      <w:bodyDiv w:val="1"/>
      <w:marLeft w:val="0"/>
      <w:marRight w:val="0"/>
      <w:marTop w:val="0"/>
      <w:marBottom w:val="0"/>
      <w:divBdr>
        <w:top w:val="none" w:sz="0" w:space="0" w:color="auto"/>
        <w:left w:val="none" w:sz="0" w:space="0" w:color="auto"/>
        <w:bottom w:val="none" w:sz="0" w:space="0" w:color="auto"/>
        <w:right w:val="none" w:sz="0" w:space="0" w:color="auto"/>
      </w:divBdr>
    </w:div>
    <w:div w:id="220100291">
      <w:bodyDiv w:val="1"/>
      <w:marLeft w:val="0"/>
      <w:marRight w:val="0"/>
      <w:marTop w:val="0"/>
      <w:marBottom w:val="0"/>
      <w:divBdr>
        <w:top w:val="none" w:sz="0" w:space="0" w:color="auto"/>
        <w:left w:val="none" w:sz="0" w:space="0" w:color="auto"/>
        <w:bottom w:val="none" w:sz="0" w:space="0" w:color="auto"/>
        <w:right w:val="none" w:sz="0" w:space="0" w:color="auto"/>
      </w:divBdr>
    </w:div>
    <w:div w:id="314914407">
      <w:bodyDiv w:val="1"/>
      <w:marLeft w:val="0"/>
      <w:marRight w:val="0"/>
      <w:marTop w:val="0"/>
      <w:marBottom w:val="0"/>
      <w:divBdr>
        <w:top w:val="none" w:sz="0" w:space="0" w:color="auto"/>
        <w:left w:val="none" w:sz="0" w:space="0" w:color="auto"/>
        <w:bottom w:val="none" w:sz="0" w:space="0" w:color="auto"/>
        <w:right w:val="none" w:sz="0" w:space="0" w:color="auto"/>
      </w:divBdr>
      <w:divsChild>
        <w:div w:id="1267615593">
          <w:marLeft w:val="-108"/>
          <w:marRight w:val="0"/>
          <w:marTop w:val="0"/>
          <w:marBottom w:val="0"/>
          <w:divBdr>
            <w:top w:val="none" w:sz="0" w:space="0" w:color="auto"/>
            <w:left w:val="none" w:sz="0" w:space="0" w:color="auto"/>
            <w:bottom w:val="none" w:sz="0" w:space="0" w:color="auto"/>
            <w:right w:val="none" w:sz="0" w:space="0" w:color="auto"/>
          </w:divBdr>
        </w:div>
      </w:divsChild>
    </w:div>
    <w:div w:id="335690464">
      <w:bodyDiv w:val="1"/>
      <w:marLeft w:val="0"/>
      <w:marRight w:val="0"/>
      <w:marTop w:val="0"/>
      <w:marBottom w:val="0"/>
      <w:divBdr>
        <w:top w:val="none" w:sz="0" w:space="0" w:color="auto"/>
        <w:left w:val="none" w:sz="0" w:space="0" w:color="auto"/>
        <w:bottom w:val="none" w:sz="0" w:space="0" w:color="auto"/>
        <w:right w:val="none" w:sz="0" w:space="0" w:color="auto"/>
      </w:divBdr>
    </w:div>
    <w:div w:id="370962281">
      <w:bodyDiv w:val="1"/>
      <w:marLeft w:val="0"/>
      <w:marRight w:val="0"/>
      <w:marTop w:val="0"/>
      <w:marBottom w:val="0"/>
      <w:divBdr>
        <w:top w:val="none" w:sz="0" w:space="0" w:color="auto"/>
        <w:left w:val="none" w:sz="0" w:space="0" w:color="auto"/>
        <w:bottom w:val="none" w:sz="0" w:space="0" w:color="auto"/>
        <w:right w:val="none" w:sz="0" w:space="0" w:color="auto"/>
      </w:divBdr>
    </w:div>
    <w:div w:id="421489747">
      <w:bodyDiv w:val="1"/>
      <w:marLeft w:val="0"/>
      <w:marRight w:val="0"/>
      <w:marTop w:val="0"/>
      <w:marBottom w:val="0"/>
      <w:divBdr>
        <w:top w:val="none" w:sz="0" w:space="0" w:color="auto"/>
        <w:left w:val="none" w:sz="0" w:space="0" w:color="auto"/>
        <w:bottom w:val="none" w:sz="0" w:space="0" w:color="auto"/>
        <w:right w:val="none" w:sz="0" w:space="0" w:color="auto"/>
      </w:divBdr>
    </w:div>
    <w:div w:id="427851578">
      <w:bodyDiv w:val="1"/>
      <w:marLeft w:val="0"/>
      <w:marRight w:val="0"/>
      <w:marTop w:val="0"/>
      <w:marBottom w:val="0"/>
      <w:divBdr>
        <w:top w:val="none" w:sz="0" w:space="0" w:color="auto"/>
        <w:left w:val="none" w:sz="0" w:space="0" w:color="auto"/>
        <w:bottom w:val="none" w:sz="0" w:space="0" w:color="auto"/>
        <w:right w:val="none" w:sz="0" w:space="0" w:color="auto"/>
      </w:divBdr>
    </w:div>
    <w:div w:id="447235358">
      <w:bodyDiv w:val="1"/>
      <w:marLeft w:val="0"/>
      <w:marRight w:val="0"/>
      <w:marTop w:val="0"/>
      <w:marBottom w:val="0"/>
      <w:divBdr>
        <w:top w:val="none" w:sz="0" w:space="0" w:color="auto"/>
        <w:left w:val="none" w:sz="0" w:space="0" w:color="auto"/>
        <w:bottom w:val="none" w:sz="0" w:space="0" w:color="auto"/>
        <w:right w:val="none" w:sz="0" w:space="0" w:color="auto"/>
      </w:divBdr>
    </w:div>
    <w:div w:id="457721844">
      <w:bodyDiv w:val="1"/>
      <w:marLeft w:val="0"/>
      <w:marRight w:val="0"/>
      <w:marTop w:val="0"/>
      <w:marBottom w:val="0"/>
      <w:divBdr>
        <w:top w:val="none" w:sz="0" w:space="0" w:color="auto"/>
        <w:left w:val="none" w:sz="0" w:space="0" w:color="auto"/>
        <w:bottom w:val="none" w:sz="0" w:space="0" w:color="auto"/>
        <w:right w:val="none" w:sz="0" w:space="0" w:color="auto"/>
      </w:divBdr>
    </w:div>
    <w:div w:id="517888855">
      <w:bodyDiv w:val="1"/>
      <w:marLeft w:val="0"/>
      <w:marRight w:val="0"/>
      <w:marTop w:val="0"/>
      <w:marBottom w:val="0"/>
      <w:divBdr>
        <w:top w:val="none" w:sz="0" w:space="0" w:color="auto"/>
        <w:left w:val="none" w:sz="0" w:space="0" w:color="auto"/>
        <w:bottom w:val="none" w:sz="0" w:space="0" w:color="auto"/>
        <w:right w:val="none" w:sz="0" w:space="0" w:color="auto"/>
      </w:divBdr>
    </w:div>
    <w:div w:id="545530931">
      <w:bodyDiv w:val="1"/>
      <w:marLeft w:val="0"/>
      <w:marRight w:val="0"/>
      <w:marTop w:val="0"/>
      <w:marBottom w:val="0"/>
      <w:divBdr>
        <w:top w:val="none" w:sz="0" w:space="0" w:color="auto"/>
        <w:left w:val="none" w:sz="0" w:space="0" w:color="auto"/>
        <w:bottom w:val="none" w:sz="0" w:space="0" w:color="auto"/>
        <w:right w:val="none" w:sz="0" w:space="0" w:color="auto"/>
      </w:divBdr>
    </w:div>
    <w:div w:id="557210753">
      <w:bodyDiv w:val="1"/>
      <w:marLeft w:val="0"/>
      <w:marRight w:val="0"/>
      <w:marTop w:val="0"/>
      <w:marBottom w:val="0"/>
      <w:divBdr>
        <w:top w:val="none" w:sz="0" w:space="0" w:color="auto"/>
        <w:left w:val="none" w:sz="0" w:space="0" w:color="auto"/>
        <w:bottom w:val="none" w:sz="0" w:space="0" w:color="auto"/>
        <w:right w:val="none" w:sz="0" w:space="0" w:color="auto"/>
      </w:divBdr>
    </w:div>
    <w:div w:id="671251471">
      <w:bodyDiv w:val="1"/>
      <w:marLeft w:val="0"/>
      <w:marRight w:val="0"/>
      <w:marTop w:val="0"/>
      <w:marBottom w:val="0"/>
      <w:divBdr>
        <w:top w:val="none" w:sz="0" w:space="0" w:color="auto"/>
        <w:left w:val="none" w:sz="0" w:space="0" w:color="auto"/>
        <w:bottom w:val="none" w:sz="0" w:space="0" w:color="auto"/>
        <w:right w:val="none" w:sz="0" w:space="0" w:color="auto"/>
      </w:divBdr>
    </w:div>
    <w:div w:id="672757841">
      <w:bodyDiv w:val="1"/>
      <w:marLeft w:val="0"/>
      <w:marRight w:val="0"/>
      <w:marTop w:val="0"/>
      <w:marBottom w:val="0"/>
      <w:divBdr>
        <w:top w:val="none" w:sz="0" w:space="0" w:color="auto"/>
        <w:left w:val="none" w:sz="0" w:space="0" w:color="auto"/>
        <w:bottom w:val="none" w:sz="0" w:space="0" w:color="auto"/>
        <w:right w:val="none" w:sz="0" w:space="0" w:color="auto"/>
      </w:divBdr>
    </w:div>
    <w:div w:id="677778046">
      <w:bodyDiv w:val="1"/>
      <w:marLeft w:val="0"/>
      <w:marRight w:val="0"/>
      <w:marTop w:val="0"/>
      <w:marBottom w:val="0"/>
      <w:divBdr>
        <w:top w:val="none" w:sz="0" w:space="0" w:color="auto"/>
        <w:left w:val="none" w:sz="0" w:space="0" w:color="auto"/>
        <w:bottom w:val="none" w:sz="0" w:space="0" w:color="auto"/>
        <w:right w:val="none" w:sz="0" w:space="0" w:color="auto"/>
      </w:divBdr>
    </w:div>
    <w:div w:id="684015853">
      <w:bodyDiv w:val="1"/>
      <w:marLeft w:val="0"/>
      <w:marRight w:val="0"/>
      <w:marTop w:val="0"/>
      <w:marBottom w:val="0"/>
      <w:divBdr>
        <w:top w:val="none" w:sz="0" w:space="0" w:color="auto"/>
        <w:left w:val="none" w:sz="0" w:space="0" w:color="auto"/>
        <w:bottom w:val="none" w:sz="0" w:space="0" w:color="auto"/>
        <w:right w:val="none" w:sz="0" w:space="0" w:color="auto"/>
      </w:divBdr>
    </w:div>
    <w:div w:id="719789104">
      <w:bodyDiv w:val="1"/>
      <w:marLeft w:val="0"/>
      <w:marRight w:val="0"/>
      <w:marTop w:val="0"/>
      <w:marBottom w:val="0"/>
      <w:divBdr>
        <w:top w:val="none" w:sz="0" w:space="0" w:color="auto"/>
        <w:left w:val="none" w:sz="0" w:space="0" w:color="auto"/>
        <w:bottom w:val="none" w:sz="0" w:space="0" w:color="auto"/>
        <w:right w:val="none" w:sz="0" w:space="0" w:color="auto"/>
      </w:divBdr>
    </w:div>
    <w:div w:id="779493058">
      <w:bodyDiv w:val="1"/>
      <w:marLeft w:val="0"/>
      <w:marRight w:val="0"/>
      <w:marTop w:val="0"/>
      <w:marBottom w:val="0"/>
      <w:divBdr>
        <w:top w:val="none" w:sz="0" w:space="0" w:color="auto"/>
        <w:left w:val="none" w:sz="0" w:space="0" w:color="auto"/>
        <w:bottom w:val="none" w:sz="0" w:space="0" w:color="auto"/>
        <w:right w:val="none" w:sz="0" w:space="0" w:color="auto"/>
      </w:divBdr>
    </w:div>
    <w:div w:id="790897074">
      <w:bodyDiv w:val="1"/>
      <w:marLeft w:val="0"/>
      <w:marRight w:val="0"/>
      <w:marTop w:val="0"/>
      <w:marBottom w:val="0"/>
      <w:divBdr>
        <w:top w:val="none" w:sz="0" w:space="0" w:color="auto"/>
        <w:left w:val="none" w:sz="0" w:space="0" w:color="auto"/>
        <w:bottom w:val="none" w:sz="0" w:space="0" w:color="auto"/>
        <w:right w:val="none" w:sz="0" w:space="0" w:color="auto"/>
      </w:divBdr>
    </w:div>
    <w:div w:id="825587968">
      <w:bodyDiv w:val="1"/>
      <w:marLeft w:val="0"/>
      <w:marRight w:val="0"/>
      <w:marTop w:val="0"/>
      <w:marBottom w:val="0"/>
      <w:divBdr>
        <w:top w:val="none" w:sz="0" w:space="0" w:color="auto"/>
        <w:left w:val="none" w:sz="0" w:space="0" w:color="auto"/>
        <w:bottom w:val="none" w:sz="0" w:space="0" w:color="auto"/>
        <w:right w:val="none" w:sz="0" w:space="0" w:color="auto"/>
      </w:divBdr>
    </w:div>
    <w:div w:id="850333608">
      <w:bodyDiv w:val="1"/>
      <w:marLeft w:val="0"/>
      <w:marRight w:val="0"/>
      <w:marTop w:val="0"/>
      <w:marBottom w:val="0"/>
      <w:divBdr>
        <w:top w:val="none" w:sz="0" w:space="0" w:color="auto"/>
        <w:left w:val="none" w:sz="0" w:space="0" w:color="auto"/>
        <w:bottom w:val="none" w:sz="0" w:space="0" w:color="auto"/>
        <w:right w:val="none" w:sz="0" w:space="0" w:color="auto"/>
      </w:divBdr>
    </w:div>
    <w:div w:id="872884001">
      <w:bodyDiv w:val="1"/>
      <w:marLeft w:val="0"/>
      <w:marRight w:val="0"/>
      <w:marTop w:val="0"/>
      <w:marBottom w:val="0"/>
      <w:divBdr>
        <w:top w:val="none" w:sz="0" w:space="0" w:color="auto"/>
        <w:left w:val="none" w:sz="0" w:space="0" w:color="auto"/>
        <w:bottom w:val="none" w:sz="0" w:space="0" w:color="auto"/>
        <w:right w:val="none" w:sz="0" w:space="0" w:color="auto"/>
      </w:divBdr>
    </w:div>
    <w:div w:id="926579149">
      <w:bodyDiv w:val="1"/>
      <w:marLeft w:val="0"/>
      <w:marRight w:val="0"/>
      <w:marTop w:val="0"/>
      <w:marBottom w:val="0"/>
      <w:divBdr>
        <w:top w:val="none" w:sz="0" w:space="0" w:color="auto"/>
        <w:left w:val="none" w:sz="0" w:space="0" w:color="auto"/>
        <w:bottom w:val="none" w:sz="0" w:space="0" w:color="auto"/>
        <w:right w:val="none" w:sz="0" w:space="0" w:color="auto"/>
      </w:divBdr>
    </w:div>
    <w:div w:id="940600101">
      <w:bodyDiv w:val="1"/>
      <w:marLeft w:val="0"/>
      <w:marRight w:val="0"/>
      <w:marTop w:val="0"/>
      <w:marBottom w:val="0"/>
      <w:divBdr>
        <w:top w:val="none" w:sz="0" w:space="0" w:color="auto"/>
        <w:left w:val="none" w:sz="0" w:space="0" w:color="auto"/>
        <w:bottom w:val="none" w:sz="0" w:space="0" w:color="auto"/>
        <w:right w:val="none" w:sz="0" w:space="0" w:color="auto"/>
      </w:divBdr>
    </w:div>
    <w:div w:id="948850310">
      <w:bodyDiv w:val="1"/>
      <w:marLeft w:val="0"/>
      <w:marRight w:val="0"/>
      <w:marTop w:val="0"/>
      <w:marBottom w:val="0"/>
      <w:divBdr>
        <w:top w:val="none" w:sz="0" w:space="0" w:color="auto"/>
        <w:left w:val="none" w:sz="0" w:space="0" w:color="auto"/>
        <w:bottom w:val="none" w:sz="0" w:space="0" w:color="auto"/>
        <w:right w:val="none" w:sz="0" w:space="0" w:color="auto"/>
      </w:divBdr>
    </w:div>
    <w:div w:id="956764675">
      <w:bodyDiv w:val="1"/>
      <w:marLeft w:val="0"/>
      <w:marRight w:val="0"/>
      <w:marTop w:val="0"/>
      <w:marBottom w:val="0"/>
      <w:divBdr>
        <w:top w:val="none" w:sz="0" w:space="0" w:color="auto"/>
        <w:left w:val="none" w:sz="0" w:space="0" w:color="auto"/>
        <w:bottom w:val="none" w:sz="0" w:space="0" w:color="auto"/>
        <w:right w:val="none" w:sz="0" w:space="0" w:color="auto"/>
      </w:divBdr>
    </w:div>
    <w:div w:id="957371796">
      <w:bodyDiv w:val="1"/>
      <w:marLeft w:val="0"/>
      <w:marRight w:val="0"/>
      <w:marTop w:val="0"/>
      <w:marBottom w:val="0"/>
      <w:divBdr>
        <w:top w:val="none" w:sz="0" w:space="0" w:color="auto"/>
        <w:left w:val="none" w:sz="0" w:space="0" w:color="auto"/>
        <w:bottom w:val="none" w:sz="0" w:space="0" w:color="auto"/>
        <w:right w:val="none" w:sz="0" w:space="0" w:color="auto"/>
      </w:divBdr>
    </w:div>
    <w:div w:id="1026171790">
      <w:bodyDiv w:val="1"/>
      <w:marLeft w:val="0"/>
      <w:marRight w:val="0"/>
      <w:marTop w:val="0"/>
      <w:marBottom w:val="0"/>
      <w:divBdr>
        <w:top w:val="none" w:sz="0" w:space="0" w:color="auto"/>
        <w:left w:val="none" w:sz="0" w:space="0" w:color="auto"/>
        <w:bottom w:val="none" w:sz="0" w:space="0" w:color="auto"/>
        <w:right w:val="none" w:sz="0" w:space="0" w:color="auto"/>
      </w:divBdr>
      <w:divsChild>
        <w:div w:id="58479752">
          <w:blockQuote w:val="1"/>
          <w:marLeft w:val="600"/>
          <w:marRight w:val="0"/>
          <w:marTop w:val="0"/>
          <w:marBottom w:val="0"/>
          <w:divBdr>
            <w:top w:val="none" w:sz="0" w:space="0" w:color="auto"/>
            <w:left w:val="none" w:sz="0" w:space="0" w:color="auto"/>
            <w:bottom w:val="none" w:sz="0" w:space="0" w:color="auto"/>
            <w:right w:val="none" w:sz="0" w:space="0" w:color="auto"/>
          </w:divBdr>
          <w:divsChild>
            <w:div w:id="1945259173">
              <w:marLeft w:val="0"/>
              <w:marRight w:val="0"/>
              <w:marTop w:val="0"/>
              <w:marBottom w:val="0"/>
              <w:divBdr>
                <w:top w:val="none" w:sz="0" w:space="0" w:color="auto"/>
                <w:left w:val="none" w:sz="0" w:space="0" w:color="auto"/>
                <w:bottom w:val="none" w:sz="0" w:space="0" w:color="auto"/>
                <w:right w:val="none" w:sz="0" w:space="0" w:color="auto"/>
              </w:divBdr>
            </w:div>
          </w:divsChild>
        </w:div>
        <w:div w:id="1414349650">
          <w:marLeft w:val="0"/>
          <w:marRight w:val="0"/>
          <w:marTop w:val="0"/>
          <w:marBottom w:val="0"/>
          <w:divBdr>
            <w:top w:val="none" w:sz="0" w:space="0" w:color="auto"/>
            <w:left w:val="none" w:sz="0" w:space="0" w:color="auto"/>
            <w:bottom w:val="none" w:sz="0" w:space="0" w:color="auto"/>
            <w:right w:val="none" w:sz="0" w:space="0" w:color="auto"/>
          </w:divBdr>
          <w:divsChild>
            <w:div w:id="1534150553">
              <w:blockQuote w:val="1"/>
              <w:marLeft w:val="600"/>
              <w:marRight w:val="0"/>
              <w:marTop w:val="0"/>
              <w:marBottom w:val="0"/>
              <w:divBdr>
                <w:top w:val="none" w:sz="0" w:space="0" w:color="auto"/>
                <w:left w:val="none" w:sz="0" w:space="0" w:color="auto"/>
                <w:bottom w:val="none" w:sz="0" w:space="0" w:color="auto"/>
                <w:right w:val="none" w:sz="0" w:space="0" w:color="auto"/>
              </w:divBdr>
              <w:divsChild>
                <w:div w:id="4237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6081">
      <w:bodyDiv w:val="1"/>
      <w:marLeft w:val="0"/>
      <w:marRight w:val="0"/>
      <w:marTop w:val="0"/>
      <w:marBottom w:val="0"/>
      <w:divBdr>
        <w:top w:val="none" w:sz="0" w:space="0" w:color="auto"/>
        <w:left w:val="none" w:sz="0" w:space="0" w:color="auto"/>
        <w:bottom w:val="none" w:sz="0" w:space="0" w:color="auto"/>
        <w:right w:val="none" w:sz="0" w:space="0" w:color="auto"/>
      </w:divBdr>
    </w:div>
    <w:div w:id="1094546253">
      <w:bodyDiv w:val="1"/>
      <w:marLeft w:val="0"/>
      <w:marRight w:val="0"/>
      <w:marTop w:val="0"/>
      <w:marBottom w:val="0"/>
      <w:divBdr>
        <w:top w:val="none" w:sz="0" w:space="0" w:color="auto"/>
        <w:left w:val="none" w:sz="0" w:space="0" w:color="auto"/>
        <w:bottom w:val="none" w:sz="0" w:space="0" w:color="auto"/>
        <w:right w:val="none" w:sz="0" w:space="0" w:color="auto"/>
      </w:divBdr>
    </w:div>
    <w:div w:id="1146510011">
      <w:bodyDiv w:val="1"/>
      <w:marLeft w:val="0"/>
      <w:marRight w:val="0"/>
      <w:marTop w:val="0"/>
      <w:marBottom w:val="0"/>
      <w:divBdr>
        <w:top w:val="none" w:sz="0" w:space="0" w:color="auto"/>
        <w:left w:val="none" w:sz="0" w:space="0" w:color="auto"/>
        <w:bottom w:val="none" w:sz="0" w:space="0" w:color="auto"/>
        <w:right w:val="none" w:sz="0" w:space="0" w:color="auto"/>
      </w:divBdr>
    </w:div>
    <w:div w:id="1175533351">
      <w:bodyDiv w:val="1"/>
      <w:marLeft w:val="0"/>
      <w:marRight w:val="0"/>
      <w:marTop w:val="0"/>
      <w:marBottom w:val="0"/>
      <w:divBdr>
        <w:top w:val="none" w:sz="0" w:space="0" w:color="auto"/>
        <w:left w:val="none" w:sz="0" w:space="0" w:color="auto"/>
        <w:bottom w:val="none" w:sz="0" w:space="0" w:color="auto"/>
        <w:right w:val="none" w:sz="0" w:space="0" w:color="auto"/>
      </w:divBdr>
    </w:div>
    <w:div w:id="1281648573">
      <w:bodyDiv w:val="1"/>
      <w:marLeft w:val="0"/>
      <w:marRight w:val="0"/>
      <w:marTop w:val="0"/>
      <w:marBottom w:val="0"/>
      <w:divBdr>
        <w:top w:val="none" w:sz="0" w:space="0" w:color="auto"/>
        <w:left w:val="none" w:sz="0" w:space="0" w:color="auto"/>
        <w:bottom w:val="none" w:sz="0" w:space="0" w:color="auto"/>
        <w:right w:val="none" w:sz="0" w:space="0" w:color="auto"/>
      </w:divBdr>
    </w:div>
    <w:div w:id="1285843882">
      <w:bodyDiv w:val="1"/>
      <w:marLeft w:val="0"/>
      <w:marRight w:val="0"/>
      <w:marTop w:val="0"/>
      <w:marBottom w:val="0"/>
      <w:divBdr>
        <w:top w:val="none" w:sz="0" w:space="0" w:color="auto"/>
        <w:left w:val="none" w:sz="0" w:space="0" w:color="auto"/>
        <w:bottom w:val="none" w:sz="0" w:space="0" w:color="auto"/>
        <w:right w:val="none" w:sz="0" w:space="0" w:color="auto"/>
      </w:divBdr>
    </w:div>
    <w:div w:id="1296522470">
      <w:bodyDiv w:val="1"/>
      <w:marLeft w:val="0"/>
      <w:marRight w:val="0"/>
      <w:marTop w:val="0"/>
      <w:marBottom w:val="0"/>
      <w:divBdr>
        <w:top w:val="none" w:sz="0" w:space="0" w:color="auto"/>
        <w:left w:val="none" w:sz="0" w:space="0" w:color="auto"/>
        <w:bottom w:val="none" w:sz="0" w:space="0" w:color="auto"/>
        <w:right w:val="none" w:sz="0" w:space="0" w:color="auto"/>
      </w:divBdr>
      <w:divsChild>
        <w:div w:id="890116016">
          <w:marLeft w:val="0"/>
          <w:marRight w:val="0"/>
          <w:marTop w:val="0"/>
          <w:marBottom w:val="0"/>
          <w:divBdr>
            <w:top w:val="none" w:sz="0" w:space="0" w:color="auto"/>
            <w:left w:val="none" w:sz="0" w:space="0" w:color="auto"/>
            <w:bottom w:val="none" w:sz="0" w:space="0" w:color="auto"/>
            <w:right w:val="none" w:sz="0" w:space="0" w:color="auto"/>
          </w:divBdr>
          <w:divsChild>
            <w:div w:id="1819960388">
              <w:marLeft w:val="0"/>
              <w:marRight w:val="0"/>
              <w:marTop w:val="0"/>
              <w:marBottom w:val="0"/>
              <w:divBdr>
                <w:top w:val="none" w:sz="0" w:space="0" w:color="auto"/>
                <w:left w:val="none" w:sz="0" w:space="0" w:color="auto"/>
                <w:bottom w:val="none" w:sz="0" w:space="0" w:color="auto"/>
                <w:right w:val="none" w:sz="0" w:space="0" w:color="auto"/>
              </w:divBdr>
            </w:div>
          </w:divsChild>
        </w:div>
        <w:div w:id="715741459">
          <w:marLeft w:val="0"/>
          <w:marRight w:val="0"/>
          <w:marTop w:val="0"/>
          <w:marBottom w:val="0"/>
          <w:divBdr>
            <w:top w:val="none" w:sz="0" w:space="0" w:color="auto"/>
            <w:left w:val="none" w:sz="0" w:space="0" w:color="auto"/>
            <w:bottom w:val="none" w:sz="0" w:space="0" w:color="auto"/>
            <w:right w:val="none" w:sz="0" w:space="0" w:color="auto"/>
          </w:divBdr>
          <w:divsChild>
            <w:div w:id="12533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58668">
      <w:bodyDiv w:val="1"/>
      <w:marLeft w:val="0"/>
      <w:marRight w:val="0"/>
      <w:marTop w:val="0"/>
      <w:marBottom w:val="0"/>
      <w:divBdr>
        <w:top w:val="none" w:sz="0" w:space="0" w:color="auto"/>
        <w:left w:val="none" w:sz="0" w:space="0" w:color="auto"/>
        <w:bottom w:val="none" w:sz="0" w:space="0" w:color="auto"/>
        <w:right w:val="none" w:sz="0" w:space="0" w:color="auto"/>
      </w:divBdr>
    </w:div>
    <w:div w:id="1501627683">
      <w:bodyDiv w:val="1"/>
      <w:marLeft w:val="0"/>
      <w:marRight w:val="0"/>
      <w:marTop w:val="0"/>
      <w:marBottom w:val="0"/>
      <w:divBdr>
        <w:top w:val="none" w:sz="0" w:space="0" w:color="auto"/>
        <w:left w:val="none" w:sz="0" w:space="0" w:color="auto"/>
        <w:bottom w:val="none" w:sz="0" w:space="0" w:color="auto"/>
        <w:right w:val="none" w:sz="0" w:space="0" w:color="auto"/>
      </w:divBdr>
    </w:div>
    <w:div w:id="1521746871">
      <w:bodyDiv w:val="1"/>
      <w:marLeft w:val="0"/>
      <w:marRight w:val="0"/>
      <w:marTop w:val="0"/>
      <w:marBottom w:val="0"/>
      <w:divBdr>
        <w:top w:val="none" w:sz="0" w:space="0" w:color="auto"/>
        <w:left w:val="none" w:sz="0" w:space="0" w:color="auto"/>
        <w:bottom w:val="none" w:sz="0" w:space="0" w:color="auto"/>
        <w:right w:val="none" w:sz="0" w:space="0" w:color="auto"/>
      </w:divBdr>
    </w:div>
    <w:div w:id="1585844486">
      <w:bodyDiv w:val="1"/>
      <w:marLeft w:val="0"/>
      <w:marRight w:val="0"/>
      <w:marTop w:val="0"/>
      <w:marBottom w:val="0"/>
      <w:divBdr>
        <w:top w:val="none" w:sz="0" w:space="0" w:color="auto"/>
        <w:left w:val="none" w:sz="0" w:space="0" w:color="auto"/>
        <w:bottom w:val="none" w:sz="0" w:space="0" w:color="auto"/>
        <w:right w:val="none" w:sz="0" w:space="0" w:color="auto"/>
      </w:divBdr>
      <w:divsChild>
        <w:div w:id="1573003537">
          <w:marLeft w:val="0"/>
          <w:marRight w:val="0"/>
          <w:marTop w:val="0"/>
          <w:marBottom w:val="0"/>
          <w:divBdr>
            <w:top w:val="none" w:sz="0" w:space="0" w:color="auto"/>
            <w:left w:val="none" w:sz="0" w:space="0" w:color="auto"/>
            <w:bottom w:val="none" w:sz="0" w:space="0" w:color="auto"/>
            <w:right w:val="none" w:sz="0" w:space="0" w:color="auto"/>
          </w:divBdr>
        </w:div>
        <w:div w:id="357390108">
          <w:marLeft w:val="0"/>
          <w:marRight w:val="0"/>
          <w:marTop w:val="0"/>
          <w:marBottom w:val="0"/>
          <w:divBdr>
            <w:top w:val="none" w:sz="0" w:space="0" w:color="auto"/>
            <w:left w:val="none" w:sz="0" w:space="0" w:color="auto"/>
            <w:bottom w:val="none" w:sz="0" w:space="0" w:color="auto"/>
            <w:right w:val="none" w:sz="0" w:space="0" w:color="auto"/>
          </w:divBdr>
        </w:div>
      </w:divsChild>
    </w:div>
    <w:div w:id="1631551293">
      <w:bodyDiv w:val="1"/>
      <w:marLeft w:val="0"/>
      <w:marRight w:val="0"/>
      <w:marTop w:val="0"/>
      <w:marBottom w:val="0"/>
      <w:divBdr>
        <w:top w:val="none" w:sz="0" w:space="0" w:color="auto"/>
        <w:left w:val="none" w:sz="0" w:space="0" w:color="auto"/>
        <w:bottom w:val="none" w:sz="0" w:space="0" w:color="auto"/>
        <w:right w:val="none" w:sz="0" w:space="0" w:color="auto"/>
      </w:divBdr>
    </w:div>
    <w:div w:id="1692493232">
      <w:bodyDiv w:val="1"/>
      <w:marLeft w:val="0"/>
      <w:marRight w:val="0"/>
      <w:marTop w:val="0"/>
      <w:marBottom w:val="0"/>
      <w:divBdr>
        <w:top w:val="none" w:sz="0" w:space="0" w:color="auto"/>
        <w:left w:val="none" w:sz="0" w:space="0" w:color="auto"/>
        <w:bottom w:val="none" w:sz="0" w:space="0" w:color="auto"/>
        <w:right w:val="none" w:sz="0" w:space="0" w:color="auto"/>
      </w:divBdr>
    </w:div>
    <w:div w:id="1775784921">
      <w:bodyDiv w:val="1"/>
      <w:marLeft w:val="0"/>
      <w:marRight w:val="0"/>
      <w:marTop w:val="0"/>
      <w:marBottom w:val="0"/>
      <w:divBdr>
        <w:top w:val="none" w:sz="0" w:space="0" w:color="auto"/>
        <w:left w:val="none" w:sz="0" w:space="0" w:color="auto"/>
        <w:bottom w:val="none" w:sz="0" w:space="0" w:color="auto"/>
        <w:right w:val="none" w:sz="0" w:space="0" w:color="auto"/>
      </w:divBdr>
    </w:div>
    <w:div w:id="1778058128">
      <w:bodyDiv w:val="1"/>
      <w:marLeft w:val="0"/>
      <w:marRight w:val="0"/>
      <w:marTop w:val="0"/>
      <w:marBottom w:val="0"/>
      <w:divBdr>
        <w:top w:val="none" w:sz="0" w:space="0" w:color="auto"/>
        <w:left w:val="none" w:sz="0" w:space="0" w:color="auto"/>
        <w:bottom w:val="none" w:sz="0" w:space="0" w:color="auto"/>
        <w:right w:val="none" w:sz="0" w:space="0" w:color="auto"/>
      </w:divBdr>
    </w:div>
    <w:div w:id="1884705908">
      <w:bodyDiv w:val="1"/>
      <w:marLeft w:val="0"/>
      <w:marRight w:val="0"/>
      <w:marTop w:val="0"/>
      <w:marBottom w:val="0"/>
      <w:divBdr>
        <w:top w:val="none" w:sz="0" w:space="0" w:color="auto"/>
        <w:left w:val="none" w:sz="0" w:space="0" w:color="auto"/>
        <w:bottom w:val="none" w:sz="0" w:space="0" w:color="auto"/>
        <w:right w:val="none" w:sz="0" w:space="0" w:color="auto"/>
      </w:divBdr>
    </w:div>
    <w:div w:id="1946841281">
      <w:bodyDiv w:val="1"/>
      <w:marLeft w:val="0"/>
      <w:marRight w:val="0"/>
      <w:marTop w:val="0"/>
      <w:marBottom w:val="0"/>
      <w:divBdr>
        <w:top w:val="none" w:sz="0" w:space="0" w:color="auto"/>
        <w:left w:val="none" w:sz="0" w:space="0" w:color="auto"/>
        <w:bottom w:val="none" w:sz="0" w:space="0" w:color="auto"/>
        <w:right w:val="none" w:sz="0" w:space="0" w:color="auto"/>
      </w:divBdr>
    </w:div>
    <w:div w:id="1959872398">
      <w:bodyDiv w:val="1"/>
      <w:marLeft w:val="0"/>
      <w:marRight w:val="0"/>
      <w:marTop w:val="0"/>
      <w:marBottom w:val="0"/>
      <w:divBdr>
        <w:top w:val="none" w:sz="0" w:space="0" w:color="auto"/>
        <w:left w:val="none" w:sz="0" w:space="0" w:color="auto"/>
        <w:bottom w:val="none" w:sz="0" w:space="0" w:color="auto"/>
        <w:right w:val="none" w:sz="0" w:space="0" w:color="auto"/>
      </w:divBdr>
    </w:div>
    <w:div w:id="2002926929">
      <w:bodyDiv w:val="1"/>
      <w:marLeft w:val="0"/>
      <w:marRight w:val="0"/>
      <w:marTop w:val="0"/>
      <w:marBottom w:val="0"/>
      <w:divBdr>
        <w:top w:val="none" w:sz="0" w:space="0" w:color="auto"/>
        <w:left w:val="none" w:sz="0" w:space="0" w:color="auto"/>
        <w:bottom w:val="none" w:sz="0" w:space="0" w:color="auto"/>
        <w:right w:val="none" w:sz="0" w:space="0" w:color="auto"/>
      </w:divBdr>
    </w:div>
    <w:div w:id="2037998059">
      <w:bodyDiv w:val="1"/>
      <w:marLeft w:val="0"/>
      <w:marRight w:val="0"/>
      <w:marTop w:val="0"/>
      <w:marBottom w:val="0"/>
      <w:divBdr>
        <w:top w:val="none" w:sz="0" w:space="0" w:color="auto"/>
        <w:left w:val="none" w:sz="0" w:space="0" w:color="auto"/>
        <w:bottom w:val="none" w:sz="0" w:space="0" w:color="auto"/>
        <w:right w:val="none" w:sz="0" w:space="0" w:color="auto"/>
      </w:divBdr>
    </w:div>
    <w:div w:id="2042389677">
      <w:bodyDiv w:val="1"/>
      <w:marLeft w:val="0"/>
      <w:marRight w:val="0"/>
      <w:marTop w:val="0"/>
      <w:marBottom w:val="0"/>
      <w:divBdr>
        <w:top w:val="none" w:sz="0" w:space="0" w:color="auto"/>
        <w:left w:val="none" w:sz="0" w:space="0" w:color="auto"/>
        <w:bottom w:val="none" w:sz="0" w:space="0" w:color="auto"/>
        <w:right w:val="none" w:sz="0" w:space="0" w:color="auto"/>
      </w:divBdr>
    </w:div>
    <w:div w:id="2101440579">
      <w:bodyDiv w:val="1"/>
      <w:marLeft w:val="0"/>
      <w:marRight w:val="0"/>
      <w:marTop w:val="0"/>
      <w:marBottom w:val="0"/>
      <w:divBdr>
        <w:top w:val="none" w:sz="0" w:space="0" w:color="auto"/>
        <w:left w:val="none" w:sz="0" w:space="0" w:color="auto"/>
        <w:bottom w:val="none" w:sz="0" w:space="0" w:color="auto"/>
        <w:right w:val="none" w:sz="0" w:space="0" w:color="auto"/>
      </w:divBdr>
    </w:div>
    <w:div w:id="2111385474">
      <w:bodyDiv w:val="1"/>
      <w:marLeft w:val="0"/>
      <w:marRight w:val="0"/>
      <w:marTop w:val="0"/>
      <w:marBottom w:val="0"/>
      <w:divBdr>
        <w:top w:val="none" w:sz="0" w:space="0" w:color="auto"/>
        <w:left w:val="none" w:sz="0" w:space="0" w:color="auto"/>
        <w:bottom w:val="none" w:sz="0" w:space="0" w:color="auto"/>
        <w:right w:val="none" w:sz="0" w:space="0" w:color="auto"/>
      </w:divBdr>
      <w:divsChild>
        <w:div w:id="885531083">
          <w:marLeft w:val="0"/>
          <w:marRight w:val="0"/>
          <w:marTop w:val="0"/>
          <w:marBottom w:val="0"/>
          <w:divBdr>
            <w:top w:val="none" w:sz="0" w:space="0" w:color="auto"/>
            <w:left w:val="none" w:sz="0" w:space="0" w:color="auto"/>
            <w:bottom w:val="none" w:sz="0" w:space="0" w:color="auto"/>
            <w:right w:val="none" w:sz="0" w:space="0" w:color="auto"/>
          </w:divBdr>
        </w:div>
      </w:divsChild>
    </w:div>
    <w:div w:id="2142072464">
      <w:bodyDiv w:val="1"/>
      <w:marLeft w:val="0"/>
      <w:marRight w:val="0"/>
      <w:marTop w:val="0"/>
      <w:marBottom w:val="0"/>
      <w:divBdr>
        <w:top w:val="none" w:sz="0" w:space="0" w:color="auto"/>
        <w:left w:val="none" w:sz="0" w:space="0" w:color="auto"/>
        <w:bottom w:val="none" w:sz="0" w:space="0" w:color="auto"/>
        <w:right w:val="none" w:sz="0" w:space="0" w:color="auto"/>
      </w:divBdr>
    </w:div>
    <w:div w:id="21444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3.jpeg"/><Relationship Id="rId14" Type="http://schemas.openxmlformats.org/officeDocument/2006/relationships/image" Target="media/image4.png"/><Relationship Id="rId15" Type="http://schemas.openxmlformats.org/officeDocument/2006/relationships/fontTable" Target="fontTable.xml"/><Relationship Id="rId16" Type="http://schemas.openxmlformats.org/officeDocument/2006/relationships/theme" Target="theme/theme1.xml"/><Relationship Id="rId17" Type="http://schemas.microsoft.com/office/2016/09/relationships/commentsIds" Target="commentsIds.xml"/><Relationship Id="rId18" Type="http://schemas.microsoft.com/office/2018/08/relationships/commentsExtensible" Target="commentsExtensi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iisglobal.org/gun-culture-is-gender-politics/" TargetMode="External"/><Relationship Id="rId14" Type="http://schemas.openxmlformats.org/officeDocument/2006/relationships/hyperlink" Target="http://www.ejil.org/pdfs/18/2/224.pdf" TargetMode="External"/><Relationship Id="rId15" Type="http://schemas.openxmlformats.org/officeDocument/2006/relationships/hyperlink" Target="https://www.sciencedirect.com/science/article/pii/S004723522100026X" TargetMode="External"/><Relationship Id="rId16" Type="http://schemas.openxmlformats.org/officeDocument/2006/relationships/hyperlink" Target="https://www.files.ethz.ch/isn/182840/SAS-Research-Note-43.pdf" TargetMode="External"/><Relationship Id="rId17" Type="http://schemas.openxmlformats.org/officeDocument/2006/relationships/hyperlink" Target="https://www.disarmamenteducation.org/index.php?go=education&amp;do=training-salw" TargetMode="External"/><Relationship Id="rId18" Type="http://schemas.openxmlformats.org/officeDocument/2006/relationships/hyperlink" Target="https://www.smallarmssurvey.org/resource/producers-small-arms-light-weapons-and-their-ammunition-research-note-43" TargetMode="External"/><Relationship Id="rId19" Type="http://schemas.openxmlformats.org/officeDocument/2006/relationships/hyperlink" Target="https://www.unodc.org/documents/e4j/Module_04_-_The_Illicit_Market_in_Firearms_FINAL.pdf" TargetMode="External"/><Relationship Id="rId50" Type="http://schemas.openxmlformats.org/officeDocument/2006/relationships/hyperlink" Target="https://www.ohchr.org/en/instruments-mechanisms/instruments/code-conduct-law-enforcement-officials" TargetMode="External"/><Relationship Id="rId51" Type="http://schemas.openxmlformats.org/officeDocument/2006/relationships/hyperlink" Target="https://www.ohchr.org/en/instruments-mechanisms/instruments/basic-principles-use-force-and-firearms-law-enforcement" TargetMode="External"/><Relationship Id="rId52" Type="http://schemas.openxmlformats.org/officeDocument/2006/relationships/hyperlink" Target="https://ipisresearch.be/home/arms-trade-security/e-learning-the-arms-trade-treaty/" TargetMode="External"/><Relationship Id="rId53" Type="http://schemas.openxmlformats.org/officeDocument/2006/relationships/hyperlink" Target="https://intersentia.com/en/the-arms-trade-treaty.html" TargetMode="External"/><Relationship Id="rId40" Type="http://schemas.openxmlformats.org/officeDocument/2006/relationships/hyperlink" Target="https://www.safeguardinghealth.org/about-coalition" TargetMode="External"/><Relationship Id="rId41" Type="http://schemas.openxmlformats.org/officeDocument/2006/relationships/hyperlink" Target="https://article36.org/wp-content/uploads/2020/08/A36-protecting-health.pdf" TargetMode="External"/><Relationship Id="rId42" Type="http://schemas.openxmlformats.org/officeDocument/2006/relationships/hyperlink" Target="https://ssd.protectingeducation.org/" TargetMode="External"/><Relationship Id="rId43" Type="http://schemas.openxmlformats.org/officeDocument/2006/relationships/hyperlink" Target="https://www.securitycouncilreport.org/atf/cf/%7B65BFCF9B-6D27-4E9C-8CD3-CF6E4FF96FF9%7D/s_2021_312.pdf" TargetMode="External"/><Relationship Id="rId44" Type="http://schemas.openxmlformats.org/officeDocument/2006/relationships/hyperlink" Target="https://ajph.aphapublications.org/doi/full/10.2105/AJPH.93.7.1089;" TargetMode="External"/><Relationship Id="rId45" Type="http://schemas.openxmlformats.org/officeDocument/2006/relationships/hyperlink" Target="https://www.unodc.org/documents/data-and-analysis/GSH2018/GSH18_Gender-related_killing_of_women_and_girls.pdf" TargetMode="External"/><Relationship Id="rId46" Type="http://schemas.openxmlformats.org/officeDocument/2006/relationships/hyperlink" Target="https://www.unwomen.org/en/news/in-focus/in-focus-gender-equality-in-covid-19-response/violence-against-women-during-covid-19" TargetMode="External"/><Relationship Id="rId47" Type="http://schemas.openxmlformats.org/officeDocument/2006/relationships/hyperlink" Target="https://www.cfr.org/backgrounder/us-gun-policy-global-comparisons" TargetMode="External"/><Relationship Id="rId48" Type="http://schemas.openxmlformats.org/officeDocument/2006/relationships/hyperlink" Target="https://www.cfr.org/backgrounder/us-gun-policy-global-comparisons" TargetMode="External"/><Relationship Id="rId49" Type="http://schemas.openxmlformats.org/officeDocument/2006/relationships/hyperlink" Target="https://www.icrc.org/en/document/introduction-ihl-e-learning-now-available-french-and-spanish" TargetMode="External"/><Relationship Id="rId1" Type="http://schemas.openxmlformats.org/officeDocument/2006/relationships/hyperlink" Target="https://www.smallarmssurvey.org/database/global-firearms-holdings" TargetMode="External"/><Relationship Id="rId2" Type="http://schemas.openxmlformats.org/officeDocument/2006/relationships/hyperlink" Target="https://www.smallarmssurvey.org/resource/still-not-there-global-violent-deaths-scenarios-2019-30" TargetMode="External"/><Relationship Id="rId3" Type="http://schemas.openxmlformats.org/officeDocument/2006/relationships/hyperlink" Target="https://www.smallarmssurvey.org/" TargetMode="External"/><Relationship Id="rId4" Type="http://schemas.openxmlformats.org/officeDocument/2006/relationships/hyperlink" Target="https://www.smallarmssurvey.org/database/global-violent-deaths-gvd" TargetMode="External"/><Relationship Id="rId5" Type="http://schemas.openxmlformats.org/officeDocument/2006/relationships/hyperlink" Target="https://www.nssf.org/articles/gun-sales-reach-record-highs-in-2020-especially-among-african-americans-and-first-time-gun-buyers/" TargetMode="External"/><Relationship Id="rId6" Type="http://schemas.openxmlformats.org/officeDocument/2006/relationships/hyperlink" Target="https://www.nssf.org/articles/nssf-retailer-surveys-indicate-5-4-million-first-time-gun-buyers-in-2021/" TargetMode="External"/><Relationship Id="rId7" Type="http://schemas.openxmlformats.org/officeDocument/2006/relationships/hyperlink" Target="https://news.northeastern.edu/wp-content/uploads/2021/02/COVID19-CONSORTIUM-REPORT-37-GUNS-Feb-2021.pdf" TargetMode="External"/><Relationship Id="rId8" Type="http://schemas.openxmlformats.org/officeDocument/2006/relationships/hyperlink" Target="https://www.npr.org/2021/03/03/971854488/did-record-gun-sales-cause-a-spike-in-gun-crime-researchers-say-its-complicated" TargetMode="External"/><Relationship Id="rId9" Type="http://schemas.openxmlformats.org/officeDocument/2006/relationships/hyperlink" Target="https://www.researchgate.net/publication/222182383_Firearm_availability_and_homicide_A_review_of_the_literature" TargetMode="External"/><Relationship Id="rId30" Type="http://schemas.openxmlformats.org/officeDocument/2006/relationships/hyperlink" Target="https://www.ohchr.org/en/special-procedures/sr-executions" TargetMode="External"/><Relationship Id="rId31" Type="http://schemas.openxmlformats.org/officeDocument/2006/relationships/hyperlink" Target="https://www.researchgate.net/publication/342480495_Brian_Wood_Glenn_McDonald_Critical_Triggers_Implementing_International_Standards_for_Police_Firearms_Use_Chapter_7_in_Small_Arms_Survey_2004_Rights_at_Risk_chapter_7_Oxford_University_Press_2004" TargetMode="External"/><Relationship Id="rId32" Type="http://schemas.openxmlformats.org/officeDocument/2006/relationships/hyperlink" Target="https://www.amnesty.org/en/documents/act30/3443/2020/en/" TargetMode="External"/><Relationship Id="rId33" Type="http://schemas.openxmlformats.org/officeDocument/2006/relationships/hyperlink" Target="https://www.unicef.org/media/68711/file/COVID-19-Protecting-children-from-violence-abuse-and-neglect" TargetMode="External"/><Relationship Id="rId34" Type="http://schemas.openxmlformats.org/officeDocument/2006/relationships/hyperlink" Target="https://openknowledge.worldbank.org/handle/10986/9069" TargetMode="External"/><Relationship Id="rId35" Type="http://schemas.openxmlformats.org/officeDocument/2006/relationships/hyperlink" Target="https://openknowledge.worldbank.org/handle/10986/9069" TargetMode="External"/><Relationship Id="rId36" Type="http://schemas.openxmlformats.org/officeDocument/2006/relationships/hyperlink" Target="https://peacekeeping.un.org/en/department-of-peace-operations" TargetMode="External"/><Relationship Id="rId37" Type="http://schemas.openxmlformats.org/officeDocument/2006/relationships/hyperlink" Target="https://press.un.org/en/2020/sc14098.doc.htm" TargetMode="External"/><Relationship Id="rId38" Type="http://schemas.openxmlformats.org/officeDocument/2006/relationships/hyperlink" Target="https://sdgs.un.org/2030agenda" TargetMode="External"/><Relationship Id="rId39" Type="http://schemas.openxmlformats.org/officeDocument/2006/relationships/hyperlink" Target="https://gensac.network/wp-content/uploads/2020/02/Gender-Responsive-Small-Arm-Control-in-the-Decade-of-Action-for-the-SDGs.pdf" TargetMode="External"/><Relationship Id="rId20" Type="http://schemas.openxmlformats.org/officeDocument/2006/relationships/hyperlink" Target="https://www.unidir.org/publication/arms-trade-treaty-issue-brief-3-diversion-analysis-framework" TargetMode="External"/><Relationship Id="rId21" Type="http://schemas.openxmlformats.org/officeDocument/2006/relationships/hyperlink" Target="https://www.unidir.org/publication/arms-trade-treaty-issue-brief-3-diversion-analysis-framework" TargetMode="External"/><Relationship Id="rId22" Type="http://schemas.openxmlformats.org/officeDocument/2006/relationships/hyperlink" Target="https://ti-defence.org/gdi/" TargetMode="External"/><Relationship Id="rId23" Type="http://schemas.openxmlformats.org/officeDocument/2006/relationships/hyperlink" Target="https://www.unodc.org/images/odccp/terrorism_weapons_conventional.html" TargetMode="External"/><Relationship Id="rId24" Type="http://schemas.openxmlformats.org/officeDocument/2006/relationships/hyperlink" Target="https://www.icao.int/publications/Documents/9848_en.pdf" TargetMode="External"/><Relationship Id="rId25" Type="http://schemas.openxmlformats.org/officeDocument/2006/relationships/hyperlink" Target="https://smallarmssurvey.medium.com/taking-stock-of-action-on-the-illicit-small-arms-trade-covid-19-and-silencing-the-guns-16954c1f6656" TargetMode="External"/><Relationship Id="rId26" Type="http://schemas.openxmlformats.org/officeDocument/2006/relationships/hyperlink" Target="https://smallarmssurvey.medium.com/taking-stock-of-action-on-the-illicit-small-arms-trade-covid-19-and-silencing-the-guns-16954c1f6656" TargetMode="External"/><Relationship Id="rId27" Type="http://schemas.openxmlformats.org/officeDocument/2006/relationships/hyperlink" Target="https://www.pcr.uu.se/research/ucdp/definitions/" TargetMode="External"/><Relationship Id="rId28" Type="http://schemas.openxmlformats.org/officeDocument/2006/relationships/hyperlink" Target="https://www.smallarmssurvey.org/sites/default/files/resources/Small-Arms-Survey-2013-Chapter-1-summary-EN.pdf" TargetMode="External"/><Relationship Id="rId29" Type="http://schemas.openxmlformats.org/officeDocument/2006/relationships/hyperlink" Target="https://www.un.org/securitycouncil/ctc/" TargetMode="External"/><Relationship Id="rId10" Type="http://schemas.openxmlformats.org/officeDocument/2006/relationships/hyperlink" Target="https://www.annualreviews.org/doi/10.1146/annurev-criminol-061020-021528" TargetMode="External"/><Relationship Id="rId11" Type="http://schemas.openxmlformats.org/officeDocument/2006/relationships/hyperlink" Target="https://unidir.org/sites/default/files/2020-12/Connecting%20the%20Dots_0.pdf" TargetMode="External"/><Relationship Id="rId12" Type="http://schemas.openxmlformats.org/officeDocument/2006/relationships/hyperlink" Target="https://ajph.aphapublications.org/doi/full/10.2105/AJPH.93.7.108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ANSA Theme">
  <a:themeElements>
    <a:clrScheme name="IANSA">
      <a:dk1>
        <a:srgbClr val="414046"/>
      </a:dk1>
      <a:lt1>
        <a:srgbClr val="FFFFFF"/>
      </a:lt1>
      <a:dk2>
        <a:srgbClr val="414046"/>
      </a:dk2>
      <a:lt2>
        <a:srgbClr val="FCF8FF"/>
      </a:lt2>
      <a:accent1>
        <a:srgbClr val="001D61"/>
      </a:accent1>
      <a:accent2>
        <a:srgbClr val="F4333E"/>
      </a:accent2>
      <a:accent3>
        <a:srgbClr val="414046"/>
      </a:accent3>
      <a:accent4>
        <a:srgbClr val="1DC9D3"/>
      </a:accent4>
      <a:accent5>
        <a:srgbClr val="868686"/>
      </a:accent5>
      <a:accent6>
        <a:srgbClr val="001D61"/>
      </a:accent6>
      <a:hlink>
        <a:srgbClr val="001D61"/>
      </a:hlink>
      <a:folHlink>
        <a:srgbClr val="001D6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ANSA Theme" id="{863BB2DA-4E83-9542-9C98-04A650DE244F}" vid="{9B954618-4DF8-194C-B4D0-D36DBD715C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438E-BC29-3A43-A10B-8CEB5997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4977</Words>
  <Characters>28375</Characters>
  <Application>Microsoft Macintosh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Emily Callsen</cp:lastModifiedBy>
  <cp:revision>2</cp:revision>
  <cp:lastPrinted>2021-05-13T14:29:00Z</cp:lastPrinted>
  <dcterms:created xsi:type="dcterms:W3CDTF">2022-10-05T19:23:00Z</dcterms:created>
  <dcterms:modified xsi:type="dcterms:W3CDTF">2022-10-05T19:23:00Z</dcterms:modified>
</cp:coreProperties>
</file>