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216A8A" w14:textId="2BB59979" w:rsidR="00B16787" w:rsidRPr="00B16787" w:rsidRDefault="00B16787" w:rsidP="00B16787">
      <w:pPr>
        <w:pStyle w:val="IANSA-MainTitle"/>
      </w:pPr>
      <w:r w:rsidRPr="00B16787">
        <w:t>Annotated Bibliography: Women, Gun Violence &amp; Law Reform</w:t>
      </w:r>
    </w:p>
    <w:p w14:paraId="4A36A58B" w14:textId="77777777" w:rsidR="00B16787" w:rsidRDefault="00B16787" w:rsidP="00B16787">
      <w:pPr>
        <w:pStyle w:val="IANSA-MainTitle"/>
      </w:pPr>
    </w:p>
    <w:p w14:paraId="42B18DA9" w14:textId="0724AE7B" w:rsidR="00B16787" w:rsidRPr="00B16787" w:rsidRDefault="00842E87" w:rsidP="00B16787">
      <w:pPr>
        <w:pStyle w:val="IANSA-MainTitle"/>
        <w:rPr>
          <w:sz w:val="30"/>
        </w:rPr>
      </w:pPr>
      <w:r>
        <w:rPr>
          <w:sz w:val="30"/>
        </w:rPr>
        <w:t>August</w:t>
      </w:r>
      <w:bookmarkStart w:id="0" w:name="_GoBack"/>
      <w:bookmarkEnd w:id="0"/>
      <w:r w:rsidR="00B16787" w:rsidRPr="00B16787">
        <w:rPr>
          <w:sz w:val="30"/>
        </w:rPr>
        <w:t xml:space="preserve"> 2021 </w:t>
      </w:r>
    </w:p>
    <w:p w14:paraId="70CD7B97" w14:textId="30947419" w:rsidR="00B16787" w:rsidRPr="00B16787" w:rsidRDefault="00B16787" w:rsidP="00B16787">
      <w:pPr>
        <w:pStyle w:val="IANSA-MainTitle"/>
        <w:rPr>
          <w:sz w:val="30"/>
        </w:rPr>
      </w:pPr>
      <w:r w:rsidRPr="00B16787">
        <w:rPr>
          <w:sz w:val="30"/>
        </w:rPr>
        <w:t>Jesse Loevinsohn</w:t>
      </w:r>
    </w:p>
    <w:p w14:paraId="0F357BF8" w14:textId="77777777" w:rsidR="00B16787" w:rsidRDefault="00B16787" w:rsidP="00B16787">
      <w:pPr>
        <w:pStyle w:val="IANSA-MainTitle"/>
      </w:pPr>
    </w:p>
    <w:p w14:paraId="4FBD6546" w14:textId="7B2009BA" w:rsidR="00826B36" w:rsidRPr="00D20413" w:rsidRDefault="00826B36" w:rsidP="00B16787">
      <w:pPr>
        <w:pStyle w:val="IANSAInfoBox"/>
        <w:rPr>
          <w:sz w:val="18"/>
          <w:szCs w:val="18"/>
        </w:rPr>
      </w:pPr>
      <w:r w:rsidRPr="00D20413">
        <w:rPr>
          <w:sz w:val="18"/>
          <w:szCs w:val="18"/>
        </w:rPr>
        <w:t>Methodology:</w:t>
      </w:r>
    </w:p>
    <w:p w14:paraId="2FE300C7" w14:textId="77777777" w:rsidR="00826B36" w:rsidRPr="00D20413" w:rsidRDefault="00826B36" w:rsidP="00826B36">
      <w:pPr>
        <w:pStyle w:val="IANSAInfoBox"/>
        <w:rPr>
          <w:b w:val="0"/>
          <w:sz w:val="18"/>
          <w:szCs w:val="18"/>
        </w:rPr>
      </w:pPr>
      <w:r w:rsidRPr="00B16787">
        <w:rPr>
          <w:sz w:val="18"/>
          <w:szCs w:val="18"/>
          <w:u w:val="single"/>
        </w:rPr>
        <w:t>Methods</w:t>
      </w:r>
      <w:r w:rsidRPr="00D20413">
        <w:rPr>
          <w:sz w:val="18"/>
          <w:szCs w:val="18"/>
        </w:rPr>
        <w:t xml:space="preserve">: </w:t>
      </w:r>
      <w:r w:rsidRPr="00D20413">
        <w:rPr>
          <w:b w:val="0"/>
          <w:sz w:val="18"/>
          <w:szCs w:val="18"/>
        </w:rPr>
        <w:t>keyword search on databases, snowball based on results</w:t>
      </w:r>
    </w:p>
    <w:p w14:paraId="32A19DAC" w14:textId="77777777" w:rsidR="00826B36" w:rsidRPr="00D20413" w:rsidRDefault="00826B36" w:rsidP="00826B36">
      <w:pPr>
        <w:pStyle w:val="IANSAInfoBox"/>
        <w:rPr>
          <w:sz w:val="18"/>
          <w:szCs w:val="18"/>
        </w:rPr>
      </w:pPr>
      <w:r w:rsidRPr="00B16787">
        <w:rPr>
          <w:sz w:val="18"/>
          <w:szCs w:val="18"/>
          <w:u w:val="single"/>
        </w:rPr>
        <w:t>Databases</w:t>
      </w:r>
      <w:r w:rsidRPr="00D20413">
        <w:rPr>
          <w:sz w:val="18"/>
          <w:szCs w:val="18"/>
        </w:rPr>
        <w:t xml:space="preserve">: </w:t>
      </w:r>
      <w:r w:rsidRPr="00D20413">
        <w:rPr>
          <w:b w:val="0"/>
          <w:sz w:val="18"/>
          <w:szCs w:val="18"/>
        </w:rPr>
        <w:t>scholar.google.com, library.universiteitleiden.nl, heinonline.org</w:t>
      </w:r>
    </w:p>
    <w:p w14:paraId="3C04E48A" w14:textId="1D4DB122" w:rsidR="009D40B8" w:rsidRPr="00D20413" w:rsidRDefault="00826B36" w:rsidP="00826B36">
      <w:pPr>
        <w:pStyle w:val="IANSAInfoBox"/>
        <w:rPr>
          <w:b w:val="0"/>
          <w:sz w:val="18"/>
          <w:szCs w:val="18"/>
        </w:rPr>
      </w:pPr>
      <w:r w:rsidRPr="00B16787">
        <w:rPr>
          <w:sz w:val="18"/>
          <w:szCs w:val="18"/>
          <w:u w:val="single"/>
        </w:rPr>
        <w:t>Keywords</w:t>
      </w:r>
      <w:r w:rsidRPr="00D20413">
        <w:rPr>
          <w:sz w:val="18"/>
          <w:szCs w:val="18"/>
        </w:rPr>
        <w:t xml:space="preserve">: </w:t>
      </w:r>
      <w:r w:rsidRPr="00D20413">
        <w:rPr>
          <w:b w:val="0"/>
          <w:sz w:val="18"/>
          <w:szCs w:val="18"/>
        </w:rPr>
        <w:t xml:space="preserve">combinations of </w:t>
      </w:r>
      <w:r w:rsidRPr="00D20413">
        <w:rPr>
          <w:b w:val="0"/>
          <w:i/>
          <w:sz w:val="18"/>
          <w:szCs w:val="18"/>
        </w:rPr>
        <w:t>gun/firearm, women/partner, (domestic) violence, law (reform), intervention</w:t>
      </w:r>
    </w:p>
    <w:p w14:paraId="37E31463" w14:textId="77777777" w:rsidR="00AD1FFD" w:rsidRPr="00AD1FFD" w:rsidRDefault="00AD1FFD" w:rsidP="00006A7E">
      <w:pPr>
        <w:pStyle w:val="IANSA-RedLine"/>
        <w:jc w:val="both"/>
        <w:rPr>
          <w:i w:val="0"/>
          <w:iCs w:val="0"/>
          <w:sz w:val="20"/>
          <w:szCs w:val="20"/>
        </w:rPr>
      </w:pPr>
    </w:p>
    <w:p w14:paraId="56CD4FFD" w14:textId="77777777" w:rsidR="009D40B8" w:rsidRPr="009D40B8" w:rsidRDefault="009D40B8" w:rsidP="009D40B8">
      <w:pPr>
        <w:rPr>
          <w:rFonts w:ascii="Times New Roman" w:eastAsia="Times New Roman" w:hAnsi="Times New Roman" w:cs="Times New Roman"/>
          <w:lang w:val="en-CA" w:eastAsia="en-GB"/>
        </w:rPr>
      </w:pPr>
    </w:p>
    <w:p w14:paraId="45C3F25F" w14:textId="5184D3A9" w:rsidR="008E3CC4" w:rsidRPr="008E3CC4" w:rsidRDefault="00826B36" w:rsidP="008E3CC4">
      <w:pPr>
        <w:pStyle w:val="IANSA-Subheading"/>
        <w:spacing w:line="240" w:lineRule="auto"/>
      </w:pPr>
      <w:r>
        <w:t>Findings:</w:t>
      </w:r>
    </w:p>
    <w:p w14:paraId="4FA64AC3" w14:textId="5506C719" w:rsidR="00826B36" w:rsidRPr="00826B36" w:rsidRDefault="00826B36" w:rsidP="00826B36">
      <w:pPr>
        <w:pStyle w:val="IANSA-Subheading"/>
        <w:rPr>
          <w:b w:val="0"/>
          <w:color w:val="auto"/>
          <w:sz w:val="18"/>
          <w:szCs w:val="18"/>
        </w:rPr>
      </w:pPr>
      <w:r w:rsidRPr="00826B36">
        <w:rPr>
          <w:b w:val="0"/>
          <w:color w:val="auto"/>
          <w:sz w:val="18"/>
          <w:szCs w:val="18"/>
        </w:rPr>
        <w:t>First, it must be noted that this annotated bibliography does not purport to fully survey and represent the breadth of the literature on intervention strategies aimed at curbing firearm violence against women. Still, the sources it covers should offer a reasonable overview of the current state of the knowledge on the topic, as well as a few effective legal reforms. However, an asterisk must be placed here since most of the research focused on the United States, and the effectiveness of the interventions outlin</w:t>
      </w:r>
      <w:r w:rsidR="004E6A50">
        <w:rPr>
          <w:b w:val="0"/>
          <w:color w:val="auto"/>
          <w:sz w:val="18"/>
          <w:szCs w:val="18"/>
        </w:rPr>
        <w:t>ed may differ in other contexts.</w:t>
      </w:r>
    </w:p>
    <w:p w14:paraId="398EEDB6" w14:textId="77777777" w:rsidR="00826B36" w:rsidRPr="00826B36" w:rsidRDefault="00826B36" w:rsidP="00826B36">
      <w:pPr>
        <w:pStyle w:val="IANSA-Subheading"/>
        <w:rPr>
          <w:b w:val="0"/>
          <w:color w:val="auto"/>
          <w:sz w:val="18"/>
          <w:szCs w:val="18"/>
        </w:rPr>
      </w:pPr>
      <w:r w:rsidRPr="00826B36">
        <w:rPr>
          <w:b w:val="0"/>
          <w:color w:val="auto"/>
          <w:sz w:val="18"/>
          <w:szCs w:val="18"/>
        </w:rPr>
        <w:t>Overall, what the literature points to is the importance of restricting firearm access and possession in contexts where there is a high risk of violence. Most of the research examined focused on two particular avenues for intervention, on which a scientific consensus as to their effectiveness appears to exist. Restrictions on firearm access and ownership, as well as an increased difficulty to buy firearms (e.g. through background checks) have been found to help decrease both firearm possession in at-risk households, as well as generally reduce intimate partner firearm homicides. There are a number of elements that the literature also highlighted as potentially being important in fighting gun violence against women, such as cracking down on illegal access, keeping better track of guns, ensuring the surrender or removal of firearms from high-risk situations, training for the judiciary and other involved state agencies, and more reporting and monitoring mechanisms. Of course, all this must of course be placed within the context of a judiciary and state agencies that are able and willing to correctly implement and enforce this legislation.</w:t>
      </w:r>
    </w:p>
    <w:p w14:paraId="79782158" w14:textId="77777777" w:rsidR="00826B36" w:rsidRPr="00826B36" w:rsidRDefault="00826B36" w:rsidP="00826B36">
      <w:pPr>
        <w:pStyle w:val="IANSA-Subheading"/>
        <w:rPr>
          <w:color w:val="F4333E" w:themeColor="accent2"/>
        </w:rPr>
      </w:pPr>
      <w:r w:rsidRPr="00826B36">
        <w:rPr>
          <w:color w:val="F4333E" w:themeColor="accent2"/>
        </w:rPr>
        <w:t>Literature:</w:t>
      </w:r>
    </w:p>
    <w:p w14:paraId="10A41BA4" w14:textId="77777777"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t xml:space="preserve">Brown A., ‘This Time I'll Be Bulletproof: Using </w:t>
      </w:r>
      <w:r w:rsidRPr="00182AD4">
        <w:rPr>
          <w:b w:val="0"/>
          <w:i/>
          <w:color w:val="001D61" w:themeColor="accent1"/>
          <w:sz w:val="18"/>
          <w:szCs w:val="18"/>
        </w:rPr>
        <w:t>Ex Parte</w:t>
      </w:r>
      <w:r w:rsidRPr="008A4A1B">
        <w:rPr>
          <w:b w:val="0"/>
          <w:color w:val="001D61" w:themeColor="accent1"/>
          <w:sz w:val="18"/>
          <w:szCs w:val="18"/>
        </w:rPr>
        <w:t xml:space="preserve"> Firearm Prohibitions to Combat Intimate-Partner Violence' (2019) 50 Columbia Human Rights Law Review 159.</w:t>
      </w:r>
    </w:p>
    <w:p w14:paraId="02C520FF" w14:textId="77777777" w:rsidR="00826B36" w:rsidRPr="00826B36" w:rsidRDefault="00826B36" w:rsidP="00826B36">
      <w:pPr>
        <w:pStyle w:val="IANSA-Subheading"/>
        <w:ind w:left="720"/>
        <w:rPr>
          <w:b w:val="0"/>
          <w:color w:val="auto"/>
          <w:sz w:val="18"/>
          <w:szCs w:val="18"/>
        </w:rPr>
      </w:pPr>
      <w:r w:rsidRPr="00826B36">
        <w:rPr>
          <w:b w:val="0"/>
          <w:color w:val="auto"/>
          <w:sz w:val="18"/>
          <w:szCs w:val="18"/>
        </w:rPr>
        <w:t xml:space="preserve">In his article, Brown discusses the intersection between reducing domestic violence-related homicides and firearm regulation in the US. This is especially important in the US which is a world leader in firearm violence against victims of domestic violence. He finds that </w:t>
      </w:r>
      <w:r w:rsidRPr="00B65E89">
        <w:rPr>
          <w:b w:val="0"/>
          <w:i/>
          <w:color w:val="auto"/>
          <w:sz w:val="18"/>
          <w:szCs w:val="18"/>
        </w:rPr>
        <w:t xml:space="preserve">ex parte </w:t>
      </w:r>
      <w:r w:rsidRPr="00826B36">
        <w:rPr>
          <w:b w:val="0"/>
          <w:color w:val="auto"/>
          <w:sz w:val="18"/>
          <w:szCs w:val="18"/>
        </w:rPr>
        <w:t xml:space="preserve">order for protection prohibitions on firearms enjoy both bipartisan support -- making them more politically viable – as well as a reasonable degree of empirical support for their effectiveness. However, he concludes that protection of intimate partners from firearms must go beyond enforcing existing laws, but must also include the creation of new laws that even further protect potential victims. </w:t>
      </w:r>
    </w:p>
    <w:p w14:paraId="5F8F95E0" w14:textId="77777777"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t>Chao T., and M. Crandall, ‘"Evidence-Based Firearm Injury Prevention: Legislation Matters’ (2020) 30 University of Florida Journal of Law and Public Policy 217.</w:t>
      </w:r>
    </w:p>
    <w:p w14:paraId="227597E8" w14:textId="24B90BB5" w:rsidR="00826B36" w:rsidRPr="00826B36" w:rsidRDefault="00826B36" w:rsidP="00826B36">
      <w:pPr>
        <w:pStyle w:val="IANSA-Subheading"/>
        <w:ind w:left="720"/>
        <w:rPr>
          <w:b w:val="0"/>
          <w:color w:val="auto"/>
          <w:sz w:val="18"/>
          <w:szCs w:val="18"/>
        </w:rPr>
      </w:pPr>
      <w:r w:rsidRPr="00826B36">
        <w:rPr>
          <w:b w:val="0"/>
          <w:color w:val="auto"/>
          <w:sz w:val="18"/>
          <w:szCs w:val="18"/>
        </w:rPr>
        <w:t xml:space="preserve">Chao and Crandall explore avenues for the prevention of domestic firearm-related injuries. In relation to the role of state legislation, they conclude that this must include “limitations on licensing for </w:t>
      </w:r>
      <w:r>
        <w:rPr>
          <w:b w:val="0"/>
          <w:color w:val="auto"/>
          <w:sz w:val="18"/>
          <w:szCs w:val="18"/>
        </w:rPr>
        <w:t xml:space="preserve">rearm purchasing and ownership, </w:t>
      </w:r>
      <w:r w:rsidRPr="00826B36">
        <w:rPr>
          <w:b w:val="0"/>
          <w:color w:val="auto"/>
          <w:sz w:val="18"/>
          <w:szCs w:val="18"/>
        </w:rPr>
        <w:t>restriction of certain firearm enhancements, mandates regarding safe storage and locks, and development of community-based</w:t>
      </w:r>
      <w:r>
        <w:rPr>
          <w:b w:val="0"/>
          <w:color w:val="auto"/>
          <w:sz w:val="18"/>
          <w:szCs w:val="18"/>
        </w:rPr>
        <w:t xml:space="preserve"> violence prevention programs.”</w:t>
      </w:r>
      <w:r w:rsidRPr="00826B36">
        <w:rPr>
          <w:rStyle w:val="FootnoteReference"/>
          <w:b w:val="0"/>
          <w:sz w:val="18"/>
          <w:szCs w:val="18"/>
        </w:rPr>
        <w:footnoteReference w:id="1"/>
      </w:r>
      <w:r w:rsidRPr="00826B36">
        <w:rPr>
          <w:b w:val="0"/>
          <w:color w:val="auto"/>
          <w:sz w:val="18"/>
          <w:szCs w:val="18"/>
        </w:rPr>
        <w:t xml:space="preserve"> Furthermore, they find some evidence supporting government buy-back programs, concealed-carry laws, a more aggressive form of policing and incarceration, and “hospital-based violence prevention programs.”</w:t>
      </w:r>
      <w:r>
        <w:rPr>
          <w:rStyle w:val="FootnoteReference"/>
          <w:b w:val="0"/>
          <w:szCs w:val="18"/>
        </w:rPr>
        <w:footnoteReference w:id="2"/>
      </w:r>
      <w:r w:rsidRPr="00826B36">
        <w:rPr>
          <w:b w:val="0"/>
          <w:color w:val="auto"/>
          <w:sz w:val="18"/>
          <w:szCs w:val="18"/>
        </w:rPr>
        <w:t xml:space="preserve"> </w:t>
      </w:r>
    </w:p>
    <w:p w14:paraId="14516E7C" w14:textId="77777777"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lastRenderedPageBreak/>
        <w:t xml:space="preserve">Diez C., R. Kurland, E. Rothman, M. Bair-Merritt, E. Fleegler, Z. Xuan, S. Galea, C. Ross, B. Kalesan, K. Goss, and M. Siegel, ‘State Intimate Partner Violence-Related Firearm Laws and Intimate Partner Homicide Rates in the United States, 1991 to 2015’ (2017) 167 Annals of Internal Medicine 536. </w:t>
      </w:r>
    </w:p>
    <w:p w14:paraId="13083E4D" w14:textId="77777777" w:rsidR="00826B36" w:rsidRPr="00826B36" w:rsidRDefault="00826B36" w:rsidP="00826B36">
      <w:pPr>
        <w:pStyle w:val="IANSA-Subheading"/>
        <w:ind w:left="720"/>
        <w:rPr>
          <w:b w:val="0"/>
          <w:color w:val="auto"/>
          <w:sz w:val="18"/>
          <w:szCs w:val="18"/>
        </w:rPr>
      </w:pPr>
      <w:r w:rsidRPr="00826B36">
        <w:rPr>
          <w:b w:val="0"/>
          <w:color w:val="auto"/>
          <w:sz w:val="18"/>
          <w:szCs w:val="18"/>
        </w:rPr>
        <w:t xml:space="preserve">This study outlines the need to remove firearms from domestic violence situations at risk of recidivism. In that trend, it examines the effectiveness of laws restricting firearm possession by people subject to domestic violence restraining orders. Although it does not look into the laws’ implementation, the study finds that these laws are linked to reduced rates of intimate partner homicide compared to states lacking such laws. The research also underlines the importance of requiring the surrender of firearms already in the abusers’ possession. </w:t>
      </w:r>
    </w:p>
    <w:p w14:paraId="3E4ACCBD" w14:textId="77777777"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t>Gildengorin L., ‘Smoke and Mirrors: How Current Firearm Relinquishment Laws Fail to Protect Domestic Violence Victims’ (2016) 67 The Hastings Law Journal 807.</w:t>
      </w:r>
    </w:p>
    <w:p w14:paraId="569D5469" w14:textId="77777777" w:rsidR="00826B36" w:rsidRPr="00826B36" w:rsidRDefault="00826B36" w:rsidP="00826B36">
      <w:pPr>
        <w:pStyle w:val="IANSA-Subheading"/>
        <w:ind w:left="720"/>
        <w:rPr>
          <w:b w:val="0"/>
          <w:color w:val="auto"/>
          <w:sz w:val="18"/>
          <w:szCs w:val="18"/>
        </w:rPr>
      </w:pPr>
      <w:r w:rsidRPr="00826B36">
        <w:rPr>
          <w:b w:val="0"/>
          <w:color w:val="auto"/>
          <w:sz w:val="18"/>
          <w:szCs w:val="18"/>
        </w:rPr>
        <w:t xml:space="preserve">In her article, Gildengorin emphasizes the need to restrict abusers’ firearm access to protect victims of domestic violence. In that trend, she examines federal and state approaches, finding that at the federal level laws fail to protect victims by insufficiently pushing for the surrender of firearms. However, since it is the state level that mostly deals with situations of domestic violence, protection for victims is most necessary here. State approaches vary greatly, from offering very much to nonexistent protection. </w:t>
      </w:r>
    </w:p>
    <w:p w14:paraId="6CBC339B" w14:textId="77777777" w:rsidR="00826B36" w:rsidRPr="00826B36" w:rsidRDefault="00826B36" w:rsidP="00826B36">
      <w:pPr>
        <w:pStyle w:val="IANSA-Subheading"/>
        <w:ind w:left="720"/>
        <w:rPr>
          <w:b w:val="0"/>
          <w:color w:val="auto"/>
          <w:sz w:val="18"/>
          <w:szCs w:val="18"/>
        </w:rPr>
      </w:pPr>
      <w:r w:rsidRPr="00826B36">
        <w:rPr>
          <w:b w:val="0"/>
          <w:color w:val="auto"/>
          <w:sz w:val="18"/>
          <w:szCs w:val="18"/>
        </w:rPr>
        <w:t xml:space="preserve">Because of this, Gildengorin outlines a number of possible reforms to maximize the protection of victims. These are firstly, the increasing adoption of firearm relinquishment laws as a minimum standard, with the added elements of the empowerment of law enforcement to seize firearms at the scene, improved training of the judiciary and other involved agencies, judiciary oversight and notice of relinquishment, and allowing law enforcement officers to search homes if there is probable cause to believe an offender possesses a firearm. On top of this, Gildengorin even proposes the creation of a specialized local unit of law enforcement officers. Next, she outlines the importance of guidelines stipulating how to actually implement these laws, including a description of the correct legal procedure. Finally, she finds that the system of background checks used when selling guns as well as firearm registries must be overhauled to allow for the effective restriction of firearms from offenders. </w:t>
      </w:r>
    </w:p>
    <w:p w14:paraId="0B14BDFE" w14:textId="77777777"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t>Issa Y., ‘“A Profoundly Masculine Act”: Mass Shootings, Violence Against Women, and the Amendment That Could Forge a Path Forward’ (2019) 107 California Law Review 673.</w:t>
      </w:r>
    </w:p>
    <w:p w14:paraId="35C97657" w14:textId="1BC952CE" w:rsidR="00826B36" w:rsidRPr="00826B36" w:rsidRDefault="00826B36" w:rsidP="00826B36">
      <w:pPr>
        <w:pStyle w:val="IANSA-Subheading"/>
        <w:ind w:left="720"/>
        <w:rPr>
          <w:b w:val="0"/>
          <w:color w:val="auto"/>
          <w:sz w:val="18"/>
          <w:szCs w:val="18"/>
        </w:rPr>
      </w:pPr>
      <w:r w:rsidRPr="00826B36">
        <w:rPr>
          <w:b w:val="0"/>
          <w:color w:val="auto"/>
          <w:sz w:val="18"/>
          <w:szCs w:val="18"/>
        </w:rPr>
        <w:t xml:space="preserve">In her note, Issa examines the Lautenberg amendment to the </w:t>
      </w:r>
      <w:r w:rsidRPr="00B65E89">
        <w:rPr>
          <w:b w:val="0"/>
          <w:i/>
          <w:color w:val="auto"/>
          <w:sz w:val="18"/>
          <w:szCs w:val="18"/>
        </w:rPr>
        <w:t>Gun Control A</w:t>
      </w:r>
      <w:r w:rsidRPr="00826B36">
        <w:rPr>
          <w:b w:val="0"/>
          <w:color w:val="auto"/>
          <w:sz w:val="18"/>
          <w:szCs w:val="18"/>
        </w:rPr>
        <w:t>ct, which barred those convicted of misdemeanor domestic violence from possessing firearms. Issa argues that this amendment was not far-reaching enough, and should be expanded to covering those convicted of sexual assault and stalking, since those crimes often are indicative of “a potential for future mass violence.”</w:t>
      </w:r>
      <w:r>
        <w:rPr>
          <w:rStyle w:val="FootnoteReference"/>
          <w:b w:val="0"/>
          <w:szCs w:val="18"/>
        </w:rPr>
        <w:footnoteReference w:id="3"/>
      </w:r>
      <w:r w:rsidRPr="00826B36">
        <w:rPr>
          <w:b w:val="0"/>
          <w:color w:val="auto"/>
          <w:sz w:val="18"/>
          <w:szCs w:val="18"/>
        </w:rPr>
        <w:t xml:space="preserve">  Furthermore, she finds that the amendment also ought to cover dating partners, and non-intimate partner family members. </w:t>
      </w:r>
    </w:p>
    <w:p w14:paraId="0CCDC2DF" w14:textId="77777777"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t>McPhedran S. ‘An Evaluation of the Impacts of Changing Firearms Legislation on Australian Female Firearm Homicide Victimization Rates’ (2018) 24 Violence Against Women 798.</w:t>
      </w:r>
    </w:p>
    <w:p w14:paraId="4CB9A1A1" w14:textId="70A625D5" w:rsidR="00826B36" w:rsidRPr="00826B36" w:rsidRDefault="00826B36" w:rsidP="00826B36">
      <w:pPr>
        <w:pStyle w:val="IANSA-Subheading"/>
        <w:ind w:left="720"/>
        <w:rPr>
          <w:b w:val="0"/>
          <w:color w:val="auto"/>
          <w:sz w:val="18"/>
          <w:szCs w:val="18"/>
        </w:rPr>
      </w:pPr>
      <w:r w:rsidRPr="00826B36">
        <w:rPr>
          <w:b w:val="0"/>
          <w:color w:val="auto"/>
          <w:sz w:val="18"/>
          <w:szCs w:val="18"/>
        </w:rPr>
        <w:t xml:space="preserve">McPhedran’s article examines Australian firearm legislation, finding that female firearm homicide victimization rates may have been affected by legal changes, but that male rates probably were not. This is likely due to the restriction of firearm access for perpetrators of domestic violence. Substantively, what changed was an increase in legal uniformity and detailedness. This was alongside an increased reliance on background checks, a lowering of the bar for refusal of firearm licenses, and generally more mandatory rather than discretionary action in response to domestic violence. That finding is echoed by the wider literature which has consistently found that increased background checks and restrictions for </w:t>
      </w:r>
      <w:r w:rsidR="00B65E89" w:rsidRPr="00826B36">
        <w:rPr>
          <w:b w:val="0"/>
          <w:color w:val="auto"/>
          <w:sz w:val="18"/>
          <w:szCs w:val="18"/>
        </w:rPr>
        <w:t>offenders’</w:t>
      </w:r>
      <w:r w:rsidRPr="00826B36">
        <w:rPr>
          <w:b w:val="0"/>
          <w:color w:val="auto"/>
          <w:sz w:val="18"/>
          <w:szCs w:val="18"/>
        </w:rPr>
        <w:t xml:space="preserve"> help reduce intimate partner homicides. However, the article also touches upon the role of illegal firearms in firearm homicides, which limit the effectiveness of any legal intervention.</w:t>
      </w:r>
    </w:p>
    <w:p w14:paraId="087A754F" w14:textId="77777777"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t>McPhedran S., and G. Mauser, ‘Lethal Firearm-Related Violence Against Canadian Women: Did Tightening Gun Laws Have an Impact on Women’s Health and Safety?’ (2013) 28 Violence and Victims 875.</w:t>
      </w:r>
    </w:p>
    <w:p w14:paraId="5CF306AE" w14:textId="77777777" w:rsidR="00826B36" w:rsidRPr="00826B36" w:rsidRDefault="00826B36" w:rsidP="00826B36">
      <w:pPr>
        <w:pStyle w:val="IANSA-Subheading"/>
        <w:ind w:left="720"/>
        <w:rPr>
          <w:b w:val="0"/>
          <w:color w:val="auto"/>
          <w:sz w:val="18"/>
          <w:szCs w:val="18"/>
        </w:rPr>
      </w:pPr>
      <w:r w:rsidRPr="00826B36">
        <w:rPr>
          <w:b w:val="0"/>
          <w:color w:val="auto"/>
          <w:sz w:val="18"/>
          <w:szCs w:val="18"/>
        </w:rPr>
        <w:t xml:space="preserve">McPhedran and Mauser analyze the impact the tightening of Canadian firearm laws had on the protection of women. Unfortunately, they find that increased legislation actually was not associated with a reduction in gun-related female domestic </w:t>
      </w:r>
      <w:r w:rsidRPr="00826B36">
        <w:rPr>
          <w:b w:val="0"/>
          <w:color w:val="auto"/>
          <w:sz w:val="18"/>
          <w:szCs w:val="18"/>
        </w:rPr>
        <w:lastRenderedPageBreak/>
        <w:t xml:space="preserve">homicide, contrary to popular belief. The only law linked with a potentially statistically significant reduction was </w:t>
      </w:r>
      <w:r w:rsidRPr="00B65E89">
        <w:rPr>
          <w:b w:val="0"/>
          <w:i/>
          <w:color w:val="auto"/>
          <w:sz w:val="18"/>
          <w:szCs w:val="18"/>
        </w:rPr>
        <w:t>Bill C-51</w:t>
      </w:r>
      <w:r w:rsidRPr="00826B36">
        <w:rPr>
          <w:b w:val="0"/>
          <w:color w:val="auto"/>
          <w:sz w:val="18"/>
          <w:szCs w:val="18"/>
        </w:rPr>
        <w:t xml:space="preserve"> from 1977, which set out a required background check for past convictions when selling firearms. That seemingly underlines the importance of ensuring that domestic violence perpetrators cannot access guns. </w:t>
      </w:r>
    </w:p>
    <w:p w14:paraId="725416C7" w14:textId="77777777"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t xml:space="preserve">Moracco K., K. Clark, C. Espersen, and M. Bowling, </w:t>
      </w:r>
      <w:r w:rsidRPr="00B65E89">
        <w:rPr>
          <w:b w:val="0"/>
          <w:i/>
          <w:color w:val="001D61" w:themeColor="accent1"/>
          <w:sz w:val="18"/>
          <w:szCs w:val="18"/>
        </w:rPr>
        <w:t>Preventing Firearm Violence Among Victims of Intimate Partner Violence: An Evaluation of a New North Carolina Law</w:t>
      </w:r>
      <w:r w:rsidRPr="008A4A1B">
        <w:rPr>
          <w:b w:val="0"/>
          <w:color w:val="001D61" w:themeColor="accent1"/>
          <w:sz w:val="18"/>
          <w:szCs w:val="18"/>
        </w:rPr>
        <w:t xml:space="preserve"> (CH2004-IJ-CX-00025, 2006).   </w:t>
      </w:r>
    </w:p>
    <w:p w14:paraId="1EFABAC5" w14:textId="77777777" w:rsidR="00826B36" w:rsidRPr="00826B36" w:rsidRDefault="00826B36" w:rsidP="00826B36">
      <w:pPr>
        <w:pStyle w:val="IANSA-Subheading"/>
        <w:ind w:left="720"/>
        <w:rPr>
          <w:b w:val="0"/>
          <w:color w:val="auto"/>
          <w:sz w:val="18"/>
          <w:szCs w:val="18"/>
        </w:rPr>
      </w:pPr>
      <w:r w:rsidRPr="00826B36">
        <w:rPr>
          <w:b w:val="0"/>
          <w:color w:val="auto"/>
          <w:sz w:val="18"/>
          <w:szCs w:val="18"/>
        </w:rPr>
        <w:t xml:space="preserve">This study examines a 2003 North Carolina law on domestic violence protective orders (DVPOs) barring firearm ownership and possession. Although the authors encountered information issues with regards firearm confiscation or surrenders, they found that in the 350 study participants compliance was lacking and that in general, court-ordered protection was insufficient. Overall then, the research’s findings point to the importance of including firearm prohibitions in all DVPOs, better information collection and storage, improved enforcement of firearm restrictions, reporting and monitoring mechanisms, and more resources for the training of officials. Moreover, it indicates that involved agencies should seek to ensure applicants’ understanding, increase transparency and consistency, and improve implementation and enforcement. </w:t>
      </w:r>
    </w:p>
    <w:p w14:paraId="13DBCF64" w14:textId="77777777"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t>Negin J., P. Alpers, N. Nassar, and D. Hemenway, ‘Australian Firearm Regulation at 25 - Successes, Ongoing Challenges, and Lessons for the World’ (2021) 384 New England Journal of Medicine 1581.</w:t>
      </w:r>
    </w:p>
    <w:p w14:paraId="72AFEF2A" w14:textId="77777777" w:rsidR="00826B36" w:rsidRPr="00826B36" w:rsidRDefault="00826B36" w:rsidP="00826B36">
      <w:pPr>
        <w:pStyle w:val="IANSA-Subheading"/>
        <w:ind w:left="720"/>
        <w:rPr>
          <w:b w:val="0"/>
          <w:color w:val="auto"/>
          <w:sz w:val="18"/>
          <w:szCs w:val="18"/>
        </w:rPr>
      </w:pPr>
      <w:r w:rsidRPr="00826B36">
        <w:rPr>
          <w:b w:val="0"/>
          <w:color w:val="auto"/>
          <w:sz w:val="18"/>
          <w:szCs w:val="18"/>
        </w:rPr>
        <w:t>Although this study only looks into gun violence against women in passing, notably it highlights a multi-pronged intervention strategy to fight gun violence. It does this on the basis of lessons drawn from Australian firearm legislation. In relation to the topic at hand, this strategy includes gun registration and licensing, which are important components for the effectiveness of potential laws restricting firearm possession for perpetrators of domestic violence.</w:t>
      </w:r>
    </w:p>
    <w:p w14:paraId="6277152B" w14:textId="77777777"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t>Prickett K., A. Martin-Storey, and R. Crosnoe, ‘Firearm Ownership in High-Conflict Families: Differences According to State Laws Restricting Firearms to Misdemeanor Crimes of Domestic Violence Offenders’ (2018) 33 Journal of Family Violence 297.</w:t>
      </w:r>
    </w:p>
    <w:p w14:paraId="0D73F6A7" w14:textId="133F2C0C" w:rsidR="00826B36" w:rsidRPr="00826B36" w:rsidRDefault="00826B36" w:rsidP="00826B36">
      <w:pPr>
        <w:pStyle w:val="IANSA-Subheading"/>
        <w:ind w:left="720"/>
        <w:rPr>
          <w:b w:val="0"/>
          <w:color w:val="auto"/>
          <w:sz w:val="18"/>
          <w:szCs w:val="18"/>
        </w:rPr>
      </w:pPr>
      <w:r w:rsidRPr="00826B36">
        <w:rPr>
          <w:b w:val="0"/>
          <w:color w:val="auto"/>
          <w:sz w:val="18"/>
          <w:szCs w:val="18"/>
        </w:rPr>
        <w:t>This article examines the relation between US state laws prohibiting perpetrators of domestic violence from firearm ownership and “firearm ownership in two-parent families with high-conflict male partners” with histories of arrest.</w:t>
      </w:r>
      <w:r>
        <w:rPr>
          <w:rStyle w:val="FootnoteReference"/>
          <w:b w:val="0"/>
          <w:szCs w:val="18"/>
        </w:rPr>
        <w:footnoteReference w:id="4"/>
      </w:r>
      <w:r w:rsidRPr="00826B36">
        <w:rPr>
          <w:b w:val="0"/>
          <w:color w:val="auto"/>
          <w:sz w:val="18"/>
          <w:szCs w:val="18"/>
        </w:rPr>
        <w:t xml:space="preserve">  It finds that the presence of such legal firearm restrictions strongly reduced the gun ownership rate in families with high-conflict males, diminishing even more in the face of stronger restrictions. One important element in these laws is the length of prohibition, with the study suggesting that federal legislation setting out permanent prohibitions may prove effective.</w:t>
      </w:r>
    </w:p>
    <w:p w14:paraId="34CA2AF4" w14:textId="77777777"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t>Roberts D., ‘Intimate Partner Homicide: Relationships to Alcohol and Firearms’ (2009) 25 Journal of Contemporary Criminal Justice 67.</w:t>
      </w:r>
    </w:p>
    <w:p w14:paraId="4ADE94A7" w14:textId="77777777" w:rsidR="00826B36" w:rsidRPr="00826B36" w:rsidRDefault="00826B36" w:rsidP="00826B36">
      <w:pPr>
        <w:pStyle w:val="IANSA-Subheading"/>
        <w:ind w:left="720"/>
        <w:rPr>
          <w:b w:val="0"/>
          <w:color w:val="auto"/>
          <w:sz w:val="18"/>
          <w:szCs w:val="18"/>
        </w:rPr>
      </w:pPr>
      <w:r w:rsidRPr="00826B36">
        <w:rPr>
          <w:b w:val="0"/>
          <w:color w:val="auto"/>
          <w:sz w:val="18"/>
          <w:szCs w:val="18"/>
        </w:rPr>
        <w:t>In his study, Roberts examines intimate partner homicide and its relation to alcohol and firearms. His research suggests that most intimate partner firearm homicides are committed using guns already present in the household. Furthermore, significantly, he finds an increased incidence of intimate partner homicide in counties with longer waits or bans on carrying firearms. However, a so-called ‘cooling off’ period between 2 and 7 days was found to decrease the incidence.</w:t>
      </w:r>
    </w:p>
    <w:p w14:paraId="57F9A57B" w14:textId="77777777"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t>Sorenson S., and R. Schut, ‘Nonfatal Gun Use in Intimate Partner Violence: A Systematic Review of the Literature’ (2018) 19 Trauma, Violence, &amp; Abuse 431.</w:t>
      </w:r>
    </w:p>
    <w:p w14:paraId="1F4E3F38" w14:textId="77777777" w:rsidR="00826B36" w:rsidRPr="00826B36" w:rsidRDefault="00826B36" w:rsidP="00826B36">
      <w:pPr>
        <w:pStyle w:val="IANSA-Subheading"/>
        <w:ind w:left="720"/>
        <w:rPr>
          <w:b w:val="0"/>
          <w:color w:val="auto"/>
          <w:sz w:val="18"/>
          <w:szCs w:val="18"/>
        </w:rPr>
      </w:pPr>
      <w:r w:rsidRPr="00826B36">
        <w:rPr>
          <w:b w:val="0"/>
          <w:color w:val="auto"/>
          <w:sz w:val="18"/>
          <w:szCs w:val="18"/>
        </w:rPr>
        <w:t>In their literature review, Sorenson and Schut explore the state of scientific knowledge on nonfatal firearm use in intimate partner violence. Regarding legal interventions, they underscore the dangers of non-implementation of legislation -- especially between the federal and state levels of government. Furthermore, they find that the relinquishment and seizure of firearms in domestic violence situations should be a priority. Alongside this, they also highlight the importance of more accurate information about firearms in situations of domestic violence, the “efficacy and improvement of purchase and possession prohibitions” in relation to restraining orders, and the increased use of background checks as a prevention strategy.</w:t>
      </w:r>
    </w:p>
    <w:p w14:paraId="17DC1187" w14:textId="77777777"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t>Vigdor E., and J. Mercy, ‘Do Laws Restricting Access to Firearms by Domestic Violence Offenders Prevent Intimate Partner Homicide?’ (2006) 30 Evaluation Review 313.</w:t>
      </w:r>
    </w:p>
    <w:p w14:paraId="709914C6" w14:textId="77777777" w:rsidR="00826B36" w:rsidRPr="00826B36" w:rsidRDefault="00826B36" w:rsidP="00826B36">
      <w:pPr>
        <w:pStyle w:val="IANSA-Subheading"/>
        <w:ind w:left="720"/>
        <w:rPr>
          <w:b w:val="0"/>
          <w:color w:val="auto"/>
          <w:sz w:val="18"/>
          <w:szCs w:val="18"/>
        </w:rPr>
      </w:pPr>
      <w:r w:rsidRPr="00826B36">
        <w:rPr>
          <w:b w:val="0"/>
          <w:color w:val="auto"/>
          <w:sz w:val="18"/>
          <w:szCs w:val="18"/>
        </w:rPr>
        <w:t xml:space="preserve">Vigdor and Mercy look into the effectiveness of placing firearm restrictions on perpetrators of domestic violence in preventing intimate partner homicides. They tentatively conclude that a state passing a restraining order law with firearm restrictions has </w:t>
      </w:r>
      <w:r w:rsidRPr="00826B36">
        <w:rPr>
          <w:b w:val="0"/>
          <w:color w:val="auto"/>
          <w:sz w:val="18"/>
          <w:szCs w:val="18"/>
        </w:rPr>
        <w:lastRenderedPageBreak/>
        <w:t>an impact by decreasing intimate partner homicides. However, no statistically significant effect was found between intimate partner firearm homicides and laws allowing firearm confiscation by the police at domestic violence scenes, or domestic violence misdemeanors.</w:t>
      </w:r>
    </w:p>
    <w:p w14:paraId="3BBEDAA1" w14:textId="77777777"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t>Zeoli A., R. Malinski, and H. Brenner, ‘The Intersection of Firearms and Intimate Partner Homicide in 15 Nations’ (2020) 21 Trauma, Violence, &amp; Abuse 45.</w:t>
      </w:r>
    </w:p>
    <w:p w14:paraId="68757AF2" w14:textId="020C844C" w:rsidR="00826B36" w:rsidRPr="00826B36" w:rsidRDefault="00826B36" w:rsidP="008A4A1B">
      <w:pPr>
        <w:pStyle w:val="IANSA-Subheading"/>
        <w:ind w:left="720"/>
        <w:rPr>
          <w:b w:val="0"/>
          <w:color w:val="auto"/>
          <w:sz w:val="18"/>
          <w:szCs w:val="18"/>
        </w:rPr>
      </w:pPr>
      <w:r w:rsidRPr="00826B36">
        <w:rPr>
          <w:b w:val="0"/>
          <w:color w:val="auto"/>
          <w:sz w:val="18"/>
          <w:szCs w:val="18"/>
        </w:rPr>
        <w:t>Zeoli, Malinski and Brenner explore the use of firearms in intimate partner homicide, as well as the existence of legislation keeping guns out of abusers’ hands. Such laws existed in 7 of the 15 countries surveyed, where domestic violence ranged from being a factor in allowing gun ownership to serving to disqualify ownership. The authors do not make any real, statistically significant conclusions yet, focusing instead on lessons for future research. Notably, they find that there cannot yet be a global understanding of the problem of firearm usage in intimate partner homicide.</w:t>
      </w:r>
    </w:p>
    <w:p w14:paraId="7DFA9211" w14:textId="77777777"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t>Zeoli A., R. Malinski, and B. Turchan, ‘Risks and Targeted Interventions: Firearms in Intimate Partner Violence’ (2016) 38 Epidemiologic Review 125.</w:t>
      </w:r>
    </w:p>
    <w:p w14:paraId="10C2958F" w14:textId="77777777" w:rsidR="00826B36" w:rsidRPr="00826B36" w:rsidRDefault="00826B36" w:rsidP="00826B36">
      <w:pPr>
        <w:pStyle w:val="IANSA-Subheading"/>
        <w:ind w:left="720"/>
        <w:rPr>
          <w:b w:val="0"/>
          <w:color w:val="auto"/>
          <w:sz w:val="18"/>
          <w:szCs w:val="18"/>
        </w:rPr>
      </w:pPr>
      <w:r w:rsidRPr="00826B36">
        <w:rPr>
          <w:b w:val="0"/>
          <w:color w:val="auto"/>
          <w:sz w:val="18"/>
          <w:szCs w:val="18"/>
        </w:rPr>
        <w:t xml:space="preserve">The study presents a systematic review of the state of the knowledge on the risks of firearm access and use in domestic violence, as well as the effectiveness of interventions specifically targeted to mitigate those risks. On the basis of the literature examined, it finds that firearm access increases the severity and deadliness of intimate partner violence. Furthermore, regarding interventions it finds that domestic violence restraining orders with firearm restrictions have a positive effect, but certain elements such as judicial unwillingness to order firearm restrictions may undermine their effectiveness. However, this study does come with the asterisk that it does not examine more sweeping gun violence interventions. </w:t>
      </w:r>
    </w:p>
    <w:p w14:paraId="13F03A56" w14:textId="725881D3" w:rsidR="00826B36" w:rsidRPr="008A4A1B" w:rsidRDefault="00826B36" w:rsidP="00826B36">
      <w:pPr>
        <w:pStyle w:val="IANSA-Subheading"/>
        <w:rPr>
          <w:b w:val="0"/>
          <w:color w:val="001D61" w:themeColor="accent1"/>
          <w:sz w:val="18"/>
          <w:szCs w:val="18"/>
        </w:rPr>
      </w:pPr>
      <w:r w:rsidRPr="008A4A1B">
        <w:rPr>
          <w:b w:val="0"/>
          <w:color w:val="001D61" w:themeColor="accent1"/>
          <w:sz w:val="18"/>
          <w:szCs w:val="18"/>
        </w:rPr>
        <w:t xml:space="preserve">Zeoili A., S. Frattaroli, and K. Roskam, ‘Removing Firearms </w:t>
      </w:r>
      <w:r w:rsidR="00B65E89" w:rsidRPr="008A4A1B">
        <w:rPr>
          <w:b w:val="0"/>
          <w:color w:val="001D61" w:themeColor="accent1"/>
          <w:sz w:val="18"/>
          <w:szCs w:val="18"/>
        </w:rPr>
        <w:t>from</w:t>
      </w:r>
      <w:r w:rsidRPr="008A4A1B">
        <w:rPr>
          <w:b w:val="0"/>
          <w:color w:val="001D61" w:themeColor="accent1"/>
          <w:sz w:val="18"/>
          <w:szCs w:val="18"/>
        </w:rPr>
        <w:t xml:space="preserve"> Those Prohibited </w:t>
      </w:r>
      <w:r w:rsidR="00B65E89" w:rsidRPr="008A4A1B">
        <w:rPr>
          <w:b w:val="0"/>
          <w:color w:val="001D61" w:themeColor="accent1"/>
          <w:sz w:val="18"/>
          <w:szCs w:val="18"/>
        </w:rPr>
        <w:t>from</w:t>
      </w:r>
      <w:r w:rsidRPr="008A4A1B">
        <w:rPr>
          <w:b w:val="0"/>
          <w:color w:val="001D61" w:themeColor="accent1"/>
          <w:sz w:val="18"/>
          <w:szCs w:val="18"/>
        </w:rPr>
        <w:t xml:space="preserve"> Possession by Domestic Violence Restraining Orders: A Survey and Analysis of State Laws’ (2017) 20 Trauma, Violence &amp; Abuse 114. </w:t>
      </w:r>
    </w:p>
    <w:p w14:paraId="01FAAF3E" w14:textId="77777777" w:rsidR="00826B36" w:rsidRPr="00826B36" w:rsidRDefault="00826B36" w:rsidP="00826B36">
      <w:pPr>
        <w:pStyle w:val="IANSA-Subheading"/>
        <w:ind w:left="720"/>
        <w:rPr>
          <w:b w:val="0"/>
          <w:color w:val="auto"/>
          <w:sz w:val="18"/>
          <w:szCs w:val="18"/>
        </w:rPr>
      </w:pPr>
      <w:r w:rsidRPr="00826B36">
        <w:rPr>
          <w:b w:val="0"/>
          <w:color w:val="auto"/>
          <w:sz w:val="18"/>
          <w:szCs w:val="18"/>
        </w:rPr>
        <w:t>The authors analyze US state laws relating to firearm prohibitions in relation to domestic violence restraining orders. They examine the contents of these legislations, and their implementability and enforceability. The article’s overview of these laws may prove a useful tool in advocacy.</w:t>
      </w:r>
    </w:p>
    <w:p w14:paraId="09218145" w14:textId="77777777" w:rsidR="00826B36" w:rsidRPr="00826B36" w:rsidRDefault="00826B36" w:rsidP="00826B36">
      <w:pPr>
        <w:pStyle w:val="IANSA-Subheading"/>
        <w:rPr>
          <w:b w:val="0"/>
          <w:color w:val="auto"/>
          <w:sz w:val="18"/>
          <w:szCs w:val="18"/>
        </w:rPr>
      </w:pPr>
    </w:p>
    <w:p w14:paraId="3B4234E9" w14:textId="77777777" w:rsidR="00826B36" w:rsidRPr="00826B36" w:rsidRDefault="00826B36" w:rsidP="00B65E89">
      <w:pPr>
        <w:pStyle w:val="IANSA-Subheading"/>
        <w:spacing w:line="240" w:lineRule="auto"/>
        <w:rPr>
          <w:b w:val="0"/>
          <w:color w:val="auto"/>
          <w:sz w:val="18"/>
          <w:szCs w:val="18"/>
        </w:rPr>
      </w:pPr>
    </w:p>
    <w:sectPr w:rsidR="00826B36" w:rsidRPr="00826B36" w:rsidSect="00B55011">
      <w:headerReference w:type="even" r:id="rId8"/>
      <w:headerReference w:type="default" r:id="rId9"/>
      <w:footerReference w:type="even" r:id="rId10"/>
      <w:footerReference w:type="default" r:id="rId11"/>
      <w:type w:val="continuous"/>
      <w:pgSz w:w="11906" w:h="16838"/>
      <w:pgMar w:top="1440" w:right="1080" w:bottom="1440" w:left="1080" w:header="708"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54773" w14:textId="77777777" w:rsidR="00E32F71" w:rsidRDefault="00E32F71" w:rsidP="00A83A7A">
      <w:r>
        <w:separator/>
      </w:r>
    </w:p>
  </w:endnote>
  <w:endnote w:type="continuationSeparator" w:id="0">
    <w:p w14:paraId="1B03CCA8" w14:textId="77777777" w:rsidR="00E32F71" w:rsidRDefault="00E32F71" w:rsidP="00A83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oppins SemiBold">
    <w:altName w:val="Times New Roman"/>
    <w:charset w:val="00"/>
    <w:family w:val="auto"/>
    <w:pitch w:val="default"/>
  </w:font>
  <w:font w:name="Poppins Medium">
    <w:altName w:val="Times New Roman"/>
    <w:panose1 w:val="00000000000000000000"/>
    <w:charset w:val="00"/>
    <w:family w:val="roman"/>
    <w:notTrueType/>
    <w:pitch w:val="default"/>
  </w:font>
  <w:font w:name="Helvetica">
    <w:panose1 w:val="00000000000000000000"/>
    <w:charset w:val="00"/>
    <w:family w:val="swiss"/>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69929248"/>
      <w:docPartObj>
        <w:docPartGallery w:val="Page Numbers (Bottom of Page)"/>
        <w:docPartUnique/>
      </w:docPartObj>
    </w:sdtPr>
    <w:sdtEndPr>
      <w:rPr>
        <w:rStyle w:val="PageNumber"/>
      </w:rPr>
    </w:sdtEndPr>
    <w:sdtContent>
      <w:p w14:paraId="48360A02" w14:textId="77777777" w:rsidR="003206FC" w:rsidRDefault="003206FC" w:rsidP="00434A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2ADD52" w14:textId="77777777" w:rsidR="003206FC" w:rsidRDefault="003206F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87931852"/>
      <w:docPartObj>
        <w:docPartGallery w:val="Page Numbers (Bottom of Page)"/>
        <w:docPartUnique/>
      </w:docPartObj>
    </w:sdtPr>
    <w:sdtEndPr>
      <w:rPr>
        <w:rStyle w:val="PageNumber"/>
      </w:rPr>
    </w:sdtEndPr>
    <w:sdtContent>
      <w:p w14:paraId="14DEA770" w14:textId="77777777" w:rsidR="003206FC" w:rsidRDefault="003206FC" w:rsidP="003206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42E87">
          <w:rPr>
            <w:rStyle w:val="PageNumber"/>
            <w:noProof/>
          </w:rPr>
          <w:t>1</w:t>
        </w:r>
        <w:r>
          <w:rPr>
            <w:rStyle w:val="PageNumber"/>
          </w:rPr>
          <w:fldChar w:fldCharType="end"/>
        </w:r>
      </w:p>
    </w:sdtContent>
  </w:sdt>
  <w:p w14:paraId="3CCA36C0" w14:textId="77777777" w:rsidR="003206FC" w:rsidRDefault="003206F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88188" w14:textId="77777777" w:rsidR="00E32F71" w:rsidRDefault="00E32F71" w:rsidP="00A83A7A">
      <w:r w:rsidRPr="009C2711">
        <w:rPr>
          <w:color w:val="414047"/>
        </w:rPr>
        <w:separator/>
      </w:r>
      <w:r w:rsidRPr="009C2711">
        <w:rPr>
          <w:color w:val="414047"/>
        </w:rPr>
        <w:separator/>
      </w:r>
      <w:r w:rsidRPr="009C2711">
        <w:rPr>
          <w:color w:val="414047"/>
        </w:rPr>
        <w:separator/>
      </w:r>
    </w:p>
    <w:p w14:paraId="7AAE2727" w14:textId="77777777" w:rsidR="00E32F71" w:rsidRDefault="00E32F71"/>
  </w:footnote>
  <w:footnote w:type="continuationSeparator" w:id="0">
    <w:p w14:paraId="3B2969A8" w14:textId="77777777" w:rsidR="00E32F71" w:rsidRDefault="00E32F71" w:rsidP="00A83A7A">
      <w:r>
        <w:continuationSeparator/>
      </w:r>
    </w:p>
  </w:footnote>
  <w:footnote w:id="1">
    <w:p w14:paraId="2AE892E5" w14:textId="701C2AAC" w:rsidR="00826B36" w:rsidRPr="00826B36" w:rsidRDefault="00826B36" w:rsidP="00826B36">
      <w:pPr>
        <w:pStyle w:val="FootnoteText"/>
        <w:rPr>
          <w:lang w:val="en-CA"/>
        </w:rPr>
      </w:pPr>
      <w:r w:rsidRPr="00826B36">
        <w:rPr>
          <w:rStyle w:val="FootnoteReference"/>
          <w:sz w:val="16"/>
        </w:rPr>
        <w:footnoteRef/>
      </w:r>
      <w:r w:rsidRPr="00826B36">
        <w:t xml:space="preserve"> </w:t>
      </w:r>
      <w:r>
        <w:t>p</w:t>
      </w:r>
      <w:r w:rsidRPr="00826B36">
        <w:t>. 217</w:t>
      </w:r>
    </w:p>
  </w:footnote>
  <w:footnote w:id="2">
    <w:p w14:paraId="1D1EA9AB" w14:textId="064B61C2" w:rsidR="00826B36" w:rsidRPr="00826B36" w:rsidRDefault="00826B36" w:rsidP="00826B36">
      <w:pPr>
        <w:pStyle w:val="FootnoteText"/>
        <w:rPr>
          <w:lang w:val="en-CA"/>
        </w:rPr>
      </w:pPr>
      <w:r w:rsidRPr="00826B36">
        <w:rPr>
          <w:rStyle w:val="FootnoteReference"/>
          <w:sz w:val="16"/>
        </w:rPr>
        <w:footnoteRef/>
      </w:r>
      <w:r w:rsidRPr="00826B36">
        <w:t xml:space="preserve"> </w:t>
      </w:r>
      <w:r w:rsidRPr="00826B36">
        <w:rPr>
          <w:lang w:val="en-CA"/>
        </w:rPr>
        <w:t>Ibid</w:t>
      </w:r>
    </w:p>
  </w:footnote>
  <w:footnote w:id="3">
    <w:p w14:paraId="157A6981" w14:textId="6083BC79" w:rsidR="00826B36" w:rsidRPr="00826B36" w:rsidRDefault="00826B36" w:rsidP="00826B36">
      <w:pPr>
        <w:pStyle w:val="FootnoteText"/>
        <w:rPr>
          <w:lang w:val="en-CA"/>
        </w:rPr>
      </w:pPr>
      <w:r w:rsidRPr="00826B36">
        <w:rPr>
          <w:rStyle w:val="FootnoteReference"/>
          <w:sz w:val="16"/>
        </w:rPr>
        <w:footnoteRef/>
      </w:r>
      <w:r w:rsidRPr="00826B36">
        <w:t xml:space="preserve"> </w:t>
      </w:r>
      <w:r>
        <w:t>p</w:t>
      </w:r>
      <w:r w:rsidRPr="00826B36">
        <w:t>. 673</w:t>
      </w:r>
    </w:p>
  </w:footnote>
  <w:footnote w:id="4">
    <w:p w14:paraId="798971A4" w14:textId="7778FAF1" w:rsidR="00826B36" w:rsidRPr="00826B36" w:rsidRDefault="00826B36" w:rsidP="00826B36">
      <w:pPr>
        <w:pStyle w:val="FootnoteText"/>
        <w:rPr>
          <w:lang w:val="en-CA"/>
        </w:rPr>
      </w:pPr>
      <w:r w:rsidRPr="00826B36">
        <w:rPr>
          <w:rStyle w:val="FootnoteReference"/>
          <w:sz w:val="16"/>
        </w:rPr>
        <w:footnoteRef/>
      </w:r>
      <w:r w:rsidRPr="00826B36">
        <w:t xml:space="preserve"> p.297</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48716041"/>
      <w:docPartObj>
        <w:docPartGallery w:val="Page Numbers (Top of Page)"/>
        <w:docPartUnique/>
      </w:docPartObj>
    </w:sdtPr>
    <w:sdtEndPr>
      <w:rPr>
        <w:rStyle w:val="PageNumber"/>
      </w:rPr>
    </w:sdtEndPr>
    <w:sdtContent>
      <w:p w14:paraId="6FBBD025" w14:textId="77777777" w:rsidR="003206FC" w:rsidRDefault="003206FC" w:rsidP="00434AF0">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2D101C" w14:textId="77777777" w:rsidR="003206FC" w:rsidRDefault="003206F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2264E" w14:textId="77777777" w:rsidR="003206FC" w:rsidRDefault="003206FC" w:rsidP="00EE4EBE">
    <w:pPr>
      <w:pStyle w:val="Header"/>
      <w:tabs>
        <w:tab w:val="right" w:pos="4513"/>
      </w:tabs>
      <w:jc w:val="right"/>
      <w:rPr>
        <w:rFonts w:ascii="Poppins" w:hAnsi="Poppins" w:cs="Poppins"/>
        <w:b/>
        <w:bCs/>
        <w:sz w:val="14"/>
        <w:szCs w:val="14"/>
      </w:rPr>
    </w:pPr>
    <w:r w:rsidRPr="00EE4EBE">
      <w:rPr>
        <w:rFonts w:ascii="Poppins" w:hAnsi="Poppins" w:cs="Poppins"/>
        <w:b/>
        <w:bCs/>
        <w:sz w:val="14"/>
        <w:szCs w:val="14"/>
      </w:rPr>
      <w:tab/>
    </w:r>
  </w:p>
  <w:p w14:paraId="1FD4437F" w14:textId="77777777" w:rsidR="003206FC" w:rsidRDefault="003206FC" w:rsidP="00EE4EBE">
    <w:pPr>
      <w:pStyle w:val="Header"/>
      <w:tabs>
        <w:tab w:val="right" w:pos="4513"/>
      </w:tabs>
      <w:jc w:val="right"/>
      <w:rPr>
        <w:rFonts w:ascii="Poppins" w:hAnsi="Poppins" w:cs="Poppins"/>
        <w:b/>
        <w:bCs/>
        <w:sz w:val="14"/>
        <w:szCs w:val="14"/>
      </w:rPr>
    </w:pPr>
    <w:r>
      <w:rPr>
        <w:noProof/>
      </w:rPr>
      <w:drawing>
        <wp:anchor distT="0" distB="0" distL="114300" distR="114300" simplePos="0" relativeHeight="251658240" behindDoc="1" locked="0" layoutInCell="1" allowOverlap="1" wp14:anchorId="6257F998" wp14:editId="640F2ABC">
          <wp:simplePos x="0" y="0"/>
          <wp:positionH relativeFrom="column">
            <wp:posOffset>32385</wp:posOffset>
          </wp:positionH>
          <wp:positionV relativeFrom="paragraph">
            <wp:posOffset>127544</wp:posOffset>
          </wp:positionV>
          <wp:extent cx="1522730" cy="254000"/>
          <wp:effectExtent l="0" t="0" r="1270" b="0"/>
          <wp:wrapNone/>
          <wp:docPr id="48" name="Picture 4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ANSA_SmallSpace.png"/>
                  <pic:cNvPicPr/>
                </pic:nvPicPr>
                <pic:blipFill>
                  <a:blip r:embed="rId1">
                    <a:extLst>
                      <a:ext uri="{28A0092B-C50C-407E-A947-70E740481C1C}">
                        <a14:useLocalDpi xmlns:a14="http://schemas.microsoft.com/office/drawing/2010/main" val="0"/>
                      </a:ext>
                    </a:extLst>
                  </a:blip>
                  <a:stretch>
                    <a:fillRect/>
                  </a:stretch>
                </pic:blipFill>
                <pic:spPr>
                  <a:xfrm>
                    <a:off x="0" y="0"/>
                    <a:ext cx="1522730" cy="254000"/>
                  </a:xfrm>
                  <a:prstGeom prst="rect">
                    <a:avLst/>
                  </a:prstGeom>
                </pic:spPr>
              </pic:pic>
            </a:graphicData>
          </a:graphic>
          <wp14:sizeRelH relativeFrom="margin">
            <wp14:pctWidth>0</wp14:pctWidth>
          </wp14:sizeRelH>
          <wp14:sizeRelV relativeFrom="margin">
            <wp14:pctHeight>0</wp14:pctHeight>
          </wp14:sizeRelV>
        </wp:anchor>
      </w:drawing>
    </w:r>
  </w:p>
  <w:p w14:paraId="2D2E2BB7" w14:textId="77777777" w:rsidR="003206FC" w:rsidRDefault="003206FC" w:rsidP="00EE4EBE">
    <w:pPr>
      <w:pStyle w:val="Header"/>
      <w:tabs>
        <w:tab w:val="right" w:pos="4513"/>
      </w:tabs>
      <w:jc w:val="right"/>
      <w:rPr>
        <w:rFonts w:ascii="Poppins" w:hAnsi="Poppins" w:cs="Poppins"/>
        <w:b/>
        <w:bCs/>
        <w:color w:val="001E61"/>
        <w:sz w:val="14"/>
        <w:szCs w:val="14"/>
      </w:rPr>
    </w:pPr>
    <w:r>
      <w:rPr>
        <w:rFonts w:ascii="Poppins" w:hAnsi="Poppins" w:cs="Poppins"/>
        <w:b/>
        <w:bCs/>
        <w:noProof/>
        <w:sz w:val="14"/>
        <w:szCs w:val="14"/>
      </w:rPr>
      <w:drawing>
        <wp:inline distT="0" distB="0" distL="0" distR="0" wp14:anchorId="34E76B6E" wp14:editId="2D111B7A">
          <wp:extent cx="1717200" cy="126000"/>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ANSA Strapline.png"/>
                  <pic:cNvPicPr/>
                </pic:nvPicPr>
                <pic:blipFill>
                  <a:blip r:embed="rId2">
                    <a:extLst>
                      <a:ext uri="{28A0092B-C50C-407E-A947-70E740481C1C}">
                        <a14:useLocalDpi xmlns:a14="http://schemas.microsoft.com/office/drawing/2010/main" val="0"/>
                      </a:ext>
                    </a:extLst>
                  </a:blip>
                  <a:stretch>
                    <a:fillRect/>
                  </a:stretch>
                </pic:blipFill>
                <pic:spPr>
                  <a:xfrm>
                    <a:off x="0" y="0"/>
                    <a:ext cx="1717200" cy="126000"/>
                  </a:xfrm>
                  <a:prstGeom prst="rect">
                    <a:avLst/>
                  </a:prstGeom>
                </pic:spPr>
              </pic:pic>
            </a:graphicData>
          </a:graphic>
        </wp:inline>
      </w:drawing>
    </w:r>
  </w:p>
  <w:p w14:paraId="5F4FD762" w14:textId="3A247560" w:rsidR="003206FC" w:rsidRDefault="003206FC" w:rsidP="00EE4EBE">
    <w:pPr>
      <w:pStyle w:val="Header"/>
      <w:tabs>
        <w:tab w:val="right" w:pos="4513"/>
      </w:tabs>
      <w:jc w:val="right"/>
      <w:rPr>
        <w:rFonts w:ascii="Poppins" w:hAnsi="Poppins" w:cs="Poppins"/>
        <w:b/>
        <w:bCs/>
        <w:color w:val="001E61"/>
        <w:sz w:val="14"/>
        <w:szCs w:val="14"/>
      </w:rPr>
    </w:pPr>
  </w:p>
  <w:p w14:paraId="1506A485" w14:textId="77777777" w:rsidR="003206FC" w:rsidRDefault="003206FC" w:rsidP="00EE4EBE">
    <w:pPr>
      <w:pStyle w:val="Header"/>
      <w:tabs>
        <w:tab w:val="right" w:pos="4513"/>
      </w:tabs>
      <w:jc w:val="right"/>
      <w:rPr>
        <w:rFonts w:ascii="Poppins" w:hAnsi="Poppins" w:cs="Poppins"/>
        <w:b/>
        <w:bCs/>
        <w:color w:val="001E61"/>
        <w:sz w:val="14"/>
        <w:szCs w:val="14"/>
      </w:rPr>
    </w:pPr>
    <w:r>
      <w:rPr>
        <w:rFonts w:ascii="Poppins" w:hAnsi="Poppins" w:cs="Poppins"/>
        <w:b/>
        <w:bCs/>
        <w:noProof/>
        <w:color w:val="001E61"/>
        <w:sz w:val="14"/>
        <w:szCs w:val="14"/>
      </w:rPr>
      <mc:AlternateContent>
        <mc:Choice Requires="wps">
          <w:drawing>
            <wp:anchor distT="0" distB="0" distL="114300" distR="114300" simplePos="0" relativeHeight="251659264" behindDoc="0" locked="0" layoutInCell="1" allowOverlap="1" wp14:anchorId="0457D9DC" wp14:editId="394D8BCA">
              <wp:simplePos x="0" y="0"/>
              <wp:positionH relativeFrom="column">
                <wp:posOffset>32385</wp:posOffset>
              </wp:positionH>
              <wp:positionV relativeFrom="paragraph">
                <wp:posOffset>45811</wp:posOffset>
              </wp:positionV>
              <wp:extent cx="6158230" cy="1270"/>
              <wp:effectExtent l="12700" t="12700" r="1270" b="24130"/>
              <wp:wrapNone/>
              <wp:docPr id="4" name="Straight Connector 4"/>
              <wp:cNvGraphicFramePr/>
              <a:graphic xmlns:a="http://schemas.openxmlformats.org/drawingml/2006/main">
                <a:graphicData uri="http://schemas.microsoft.com/office/word/2010/wordprocessingShape">
                  <wps:wsp>
                    <wps:cNvCnPr/>
                    <wps:spPr>
                      <a:xfrm flipH="1">
                        <a:off x="0" y="0"/>
                        <a:ext cx="6158230" cy="1270"/>
                      </a:xfrm>
                      <a:prstGeom prst="line">
                        <a:avLst/>
                      </a:prstGeom>
                      <a:ln>
                        <a:solidFill>
                          <a:srgbClr val="1ECAD3"/>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530E434B" id="Straight Connector 4"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3.6pt" to="487.45pt,3.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YgHG+EBAAAFBAAADgAAAGRycy9lMm9Eb2MueG1srFPbjtMwEH1H4h8sv9NcuiyrqOkKtSw8IKhY&#10;+ADXsRML3zQ2bfr3jJ00rADtA+LFythzzsw5M9ncj0aTk4CgnG1ptSopEZa7Ttm+pd++Pry6oyRE&#10;ZjumnRUtvYhA77cvX2zOvhG1G5zuBBAksaE5+5YOMfqmKAIfhGFh5byw+CgdGBYxhL7ogJ2R3eii&#10;Lsvb4uyg8+C4CAFv99Mj3WZ+KQWPn6UMIhLdUuwt5hPyeUxnsd2wpgfmB8XnNtg/dGGYslh0odqz&#10;yMgPUH9QGcXBBSfjijtTOCkVF1kDqqnK39Q8DsyLrAXNCX6xKfw/Wv7pdACiupbeUGKZwRE9RmCq&#10;HyLZOWvRQAfkJvl09qHB9J09wBwFf4AkepRgiNTKf8AVyDagMDJmly+Ly2KMhOPlbfX6rl7jMDi+&#10;VfWbPIRiYklsHkJ8L5wh6aOlWtnkAWvY6WOIWBlTrynpWtt0BqdV96C0zgH0x50GcmI49erd7u1+&#10;nQQg8EkaRglaJFmTkPwVL1pMtF+ERGOw4XUun1dSLLTd92rm1BYzE0Ri+QVUPg+acxNM5DVdgPXz&#10;wCU7V3Q2LkCjrIO/geN4bVVO+VfVk9Yk++i6Sx5rtgN3Lbs1/xdpmZ/GGf7r793+BAAA//8DAFBL&#10;AwQUAAYACAAAACEAULn/FtoAAAAFAQAADwAAAGRycy9kb3ducmV2LnhtbEyO0UrDQBBF3wX/YRnB&#10;N7tJidbEbIoIIgiCTfsB0+w0Cc3Ohuy2jX6945M+Xu7l3FOuZzeoM02h92wgXSSgiBtve24N7Lav&#10;d4+gQkS2OHgmA18UYF1dX5VYWH/hDZ3r2CqBcCjQQBfjWGgdmo4choUfiaU7+MlhlDi12k54Ebgb&#10;9DJJHrTDnuWhw5FeOmqO9ckZeJtxs83yvN99Hr7fa/zA9OjQmNub+fkJVKQ5/o3hV1/UoRKnvT+x&#10;DWowcJ/K0MBqCUrafJXloPaSM9BVqf/bVz8AAAD//wMAUEsBAi0AFAAGAAgAAAAhAOSZw8D7AAAA&#10;4QEAABMAAAAAAAAAAAAAAAAAAAAAAFtDb250ZW50X1R5cGVzXS54bWxQSwECLQAUAAYACAAAACEA&#10;I7Jq4dcAAACUAQAACwAAAAAAAAAAAAAAAAAsAQAAX3JlbHMvLnJlbHNQSwECLQAUAAYACAAAACEA&#10;1YgHG+EBAAAFBAAADgAAAAAAAAAAAAAAAAAsAgAAZHJzL2Uyb0RvYy54bWxQSwECLQAUAAYACAAA&#10;ACEAULn/FtoAAAAFAQAADwAAAAAAAAAAAAAAAAA5BAAAZHJzL2Rvd25yZXYueG1sUEsFBgAAAAAE&#10;AAQA8wAAAEAFAAAAAA==&#10;" strokecolor="#1ecad3" strokeweight="1.5pt">
              <v:stroke joinstyle="miter"/>
            </v:line>
          </w:pict>
        </mc:Fallback>
      </mc:AlternateContent>
    </w:r>
  </w:p>
  <w:p w14:paraId="3AE23498" w14:textId="77777777" w:rsidR="003206FC" w:rsidRPr="00EE4EBE" w:rsidRDefault="003206FC" w:rsidP="00EE4EBE">
    <w:pPr>
      <w:pStyle w:val="Header"/>
      <w:tabs>
        <w:tab w:val="right" w:pos="4513"/>
      </w:tabs>
      <w:jc w:val="right"/>
      <w:rPr>
        <w:rFonts w:ascii="Poppins" w:hAnsi="Poppins" w:cs="Poppins"/>
        <w:b/>
        <w:bCs/>
        <w:color w:val="001E61"/>
        <w:sz w:val="14"/>
        <w:szCs w:val="14"/>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0028628"/>
    <w:lvl w:ilvl="0">
      <w:start w:val="1"/>
      <w:numFmt w:val="decimal"/>
      <w:lvlText w:val="%1."/>
      <w:lvlJc w:val="left"/>
      <w:pPr>
        <w:tabs>
          <w:tab w:val="num" w:pos="1492"/>
        </w:tabs>
        <w:ind w:left="1492" w:hanging="360"/>
      </w:pPr>
    </w:lvl>
  </w:abstractNum>
  <w:abstractNum w:abstractNumId="1">
    <w:nsid w:val="FFFFFF7D"/>
    <w:multiLevelType w:val="singleLevel"/>
    <w:tmpl w:val="2CAAEEB8"/>
    <w:lvl w:ilvl="0">
      <w:start w:val="1"/>
      <w:numFmt w:val="decimal"/>
      <w:lvlText w:val="%1."/>
      <w:lvlJc w:val="left"/>
      <w:pPr>
        <w:tabs>
          <w:tab w:val="num" w:pos="1209"/>
        </w:tabs>
        <w:ind w:left="1209" w:hanging="360"/>
      </w:pPr>
    </w:lvl>
  </w:abstractNum>
  <w:abstractNum w:abstractNumId="2">
    <w:nsid w:val="FFFFFF7E"/>
    <w:multiLevelType w:val="singleLevel"/>
    <w:tmpl w:val="B7EECAAA"/>
    <w:lvl w:ilvl="0">
      <w:start w:val="1"/>
      <w:numFmt w:val="decimal"/>
      <w:lvlText w:val="%1."/>
      <w:lvlJc w:val="left"/>
      <w:pPr>
        <w:tabs>
          <w:tab w:val="num" w:pos="926"/>
        </w:tabs>
        <w:ind w:left="926" w:hanging="360"/>
      </w:pPr>
    </w:lvl>
  </w:abstractNum>
  <w:abstractNum w:abstractNumId="3">
    <w:nsid w:val="FFFFFF7F"/>
    <w:multiLevelType w:val="singleLevel"/>
    <w:tmpl w:val="6646EE5E"/>
    <w:lvl w:ilvl="0">
      <w:start w:val="1"/>
      <w:numFmt w:val="decimal"/>
      <w:lvlText w:val="%1."/>
      <w:lvlJc w:val="left"/>
      <w:pPr>
        <w:tabs>
          <w:tab w:val="num" w:pos="643"/>
        </w:tabs>
        <w:ind w:left="643" w:hanging="360"/>
      </w:pPr>
    </w:lvl>
  </w:abstractNum>
  <w:abstractNum w:abstractNumId="4">
    <w:nsid w:val="FFFFFF80"/>
    <w:multiLevelType w:val="singleLevel"/>
    <w:tmpl w:val="CD20F72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A2017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D4AA8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3EA663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6A03FB0"/>
    <w:lvl w:ilvl="0">
      <w:start w:val="1"/>
      <w:numFmt w:val="decimal"/>
      <w:lvlText w:val="%1."/>
      <w:lvlJc w:val="left"/>
      <w:pPr>
        <w:tabs>
          <w:tab w:val="num" w:pos="360"/>
        </w:tabs>
        <w:ind w:left="360" w:hanging="360"/>
      </w:pPr>
    </w:lvl>
  </w:abstractNum>
  <w:abstractNum w:abstractNumId="9">
    <w:nsid w:val="FFFFFF89"/>
    <w:multiLevelType w:val="singleLevel"/>
    <w:tmpl w:val="AA34FB46"/>
    <w:lvl w:ilvl="0">
      <w:start w:val="1"/>
      <w:numFmt w:val="bullet"/>
      <w:lvlText w:val=""/>
      <w:lvlJc w:val="left"/>
      <w:pPr>
        <w:tabs>
          <w:tab w:val="num" w:pos="360"/>
        </w:tabs>
        <w:ind w:left="360" w:hanging="360"/>
      </w:pPr>
      <w:rPr>
        <w:rFonts w:ascii="Symbol" w:hAnsi="Symbol" w:hint="default"/>
      </w:rPr>
    </w:lvl>
  </w:abstractNum>
  <w:abstractNum w:abstractNumId="10">
    <w:nsid w:val="0291333D"/>
    <w:multiLevelType w:val="hybridMultilevel"/>
    <w:tmpl w:val="C676357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nsid w:val="03E17FF4"/>
    <w:multiLevelType w:val="hybridMultilevel"/>
    <w:tmpl w:val="F3E40AF4"/>
    <w:lvl w:ilvl="0" w:tplc="4DCE36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277081"/>
    <w:multiLevelType w:val="hybridMultilevel"/>
    <w:tmpl w:val="CFE4D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9117CB5"/>
    <w:multiLevelType w:val="multilevel"/>
    <w:tmpl w:val="96604F04"/>
    <w:lvl w:ilvl="0">
      <w:start w:val="1"/>
      <w:numFmt w:val="bullet"/>
      <w:lvlText w:val=""/>
      <w:lvlJc w:val="left"/>
      <w:pPr>
        <w:ind w:left="284" w:hanging="284"/>
      </w:pPr>
      <w:rPr>
        <w:rFonts w:ascii="Symbol" w:hAnsi="Symbol" w:hint="default"/>
        <w:color w:val="1ECAD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0A756490"/>
    <w:multiLevelType w:val="hybridMultilevel"/>
    <w:tmpl w:val="96604F04"/>
    <w:lvl w:ilvl="0" w:tplc="9E16428C">
      <w:start w:val="1"/>
      <w:numFmt w:val="bullet"/>
      <w:pStyle w:val="IANSA-BulletPoint1"/>
      <w:lvlText w:val=""/>
      <w:lvlJc w:val="left"/>
      <w:pPr>
        <w:ind w:left="284" w:hanging="284"/>
      </w:pPr>
      <w:rPr>
        <w:rFonts w:ascii="Symbol" w:hAnsi="Symbol" w:hint="default"/>
        <w:color w:val="1ECAD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482775B"/>
    <w:multiLevelType w:val="multilevel"/>
    <w:tmpl w:val="7598E5E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816"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17E02671"/>
    <w:multiLevelType w:val="hybridMultilevel"/>
    <w:tmpl w:val="CA5A8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8F64093"/>
    <w:multiLevelType w:val="hybridMultilevel"/>
    <w:tmpl w:val="140EB8D4"/>
    <w:lvl w:ilvl="0" w:tplc="0409000F">
      <w:start w:val="1"/>
      <w:numFmt w:val="decimal"/>
      <w:lvlText w:val="%1."/>
      <w:lvlJc w:val="left"/>
      <w:pPr>
        <w:ind w:left="720" w:hanging="360"/>
      </w:pPr>
      <w:rPr>
        <w:rFonts w:hint="default"/>
        <w:color w:val="1ECAD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96026ED"/>
    <w:multiLevelType w:val="hybridMultilevel"/>
    <w:tmpl w:val="3BF474A4"/>
    <w:lvl w:ilvl="0" w:tplc="0409000F">
      <w:start w:val="1"/>
      <w:numFmt w:val="decimal"/>
      <w:lvlText w:val="%1."/>
      <w:lvlJc w:val="left"/>
      <w:pPr>
        <w:ind w:left="284" w:hanging="284"/>
      </w:pPr>
      <w:rPr>
        <w:rFonts w:hint="default"/>
        <w:color w:val="1ECAD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AF15226"/>
    <w:multiLevelType w:val="multilevel"/>
    <w:tmpl w:val="45C06A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1C9B1208"/>
    <w:multiLevelType w:val="hybridMultilevel"/>
    <w:tmpl w:val="C3508716"/>
    <w:lvl w:ilvl="0" w:tplc="B21C9278">
      <w:start w:val="1"/>
      <w:numFmt w:val="decimal"/>
      <w:lvlText w:val="%1."/>
      <w:lvlJc w:val="left"/>
      <w:pPr>
        <w:ind w:left="720" w:hanging="360"/>
      </w:pPr>
    </w:lvl>
    <w:lvl w:ilvl="1" w:tplc="836E83E6" w:tentative="1">
      <w:start w:val="1"/>
      <w:numFmt w:val="lowerLetter"/>
      <w:lvlText w:val="%2."/>
      <w:lvlJc w:val="left"/>
      <w:pPr>
        <w:ind w:left="1440" w:hanging="360"/>
      </w:pPr>
    </w:lvl>
    <w:lvl w:ilvl="2" w:tplc="8D8EF9FA" w:tentative="1">
      <w:start w:val="1"/>
      <w:numFmt w:val="lowerRoman"/>
      <w:lvlText w:val="%3."/>
      <w:lvlJc w:val="right"/>
      <w:pPr>
        <w:ind w:left="2160" w:hanging="180"/>
      </w:pPr>
    </w:lvl>
    <w:lvl w:ilvl="3" w:tplc="887807A6" w:tentative="1">
      <w:start w:val="1"/>
      <w:numFmt w:val="decimal"/>
      <w:lvlText w:val="%4."/>
      <w:lvlJc w:val="left"/>
      <w:pPr>
        <w:ind w:left="2880" w:hanging="360"/>
      </w:pPr>
    </w:lvl>
    <w:lvl w:ilvl="4" w:tplc="EC36581E" w:tentative="1">
      <w:start w:val="1"/>
      <w:numFmt w:val="lowerLetter"/>
      <w:lvlText w:val="%5."/>
      <w:lvlJc w:val="left"/>
      <w:pPr>
        <w:ind w:left="3600" w:hanging="360"/>
      </w:pPr>
    </w:lvl>
    <w:lvl w:ilvl="5" w:tplc="EBD4C0AA" w:tentative="1">
      <w:start w:val="1"/>
      <w:numFmt w:val="lowerRoman"/>
      <w:lvlText w:val="%6."/>
      <w:lvlJc w:val="right"/>
      <w:pPr>
        <w:ind w:left="4320" w:hanging="180"/>
      </w:pPr>
    </w:lvl>
    <w:lvl w:ilvl="6" w:tplc="B1301C6E" w:tentative="1">
      <w:start w:val="1"/>
      <w:numFmt w:val="decimal"/>
      <w:lvlText w:val="%7."/>
      <w:lvlJc w:val="left"/>
      <w:pPr>
        <w:ind w:left="5040" w:hanging="360"/>
      </w:pPr>
    </w:lvl>
    <w:lvl w:ilvl="7" w:tplc="2B000C70" w:tentative="1">
      <w:start w:val="1"/>
      <w:numFmt w:val="lowerLetter"/>
      <w:lvlText w:val="%8."/>
      <w:lvlJc w:val="left"/>
      <w:pPr>
        <w:ind w:left="5760" w:hanging="360"/>
      </w:pPr>
    </w:lvl>
    <w:lvl w:ilvl="8" w:tplc="A8BCDE32" w:tentative="1">
      <w:start w:val="1"/>
      <w:numFmt w:val="lowerRoman"/>
      <w:lvlText w:val="%9."/>
      <w:lvlJc w:val="right"/>
      <w:pPr>
        <w:ind w:left="6480" w:hanging="180"/>
      </w:pPr>
    </w:lvl>
  </w:abstractNum>
  <w:abstractNum w:abstractNumId="21">
    <w:nsid w:val="2C8D6A69"/>
    <w:multiLevelType w:val="multilevel"/>
    <w:tmpl w:val="0406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DAA09F4"/>
    <w:multiLevelType w:val="hybridMultilevel"/>
    <w:tmpl w:val="F0940CC4"/>
    <w:lvl w:ilvl="0" w:tplc="3B160584">
      <w:start w:val="1"/>
      <w:numFmt w:val="decimal"/>
      <w:lvlText w:val="%1."/>
      <w:lvlJc w:val="left"/>
      <w:pPr>
        <w:ind w:left="720" w:hanging="360"/>
      </w:pPr>
      <w:rPr>
        <w:i w:val="0"/>
      </w:rPr>
    </w:lvl>
    <w:lvl w:ilvl="1" w:tplc="074432C0" w:tentative="1">
      <w:start w:val="1"/>
      <w:numFmt w:val="lowerLetter"/>
      <w:lvlText w:val="%2."/>
      <w:lvlJc w:val="left"/>
      <w:pPr>
        <w:ind w:left="1440" w:hanging="360"/>
      </w:pPr>
    </w:lvl>
    <w:lvl w:ilvl="2" w:tplc="4B7C3C8E" w:tentative="1">
      <w:start w:val="1"/>
      <w:numFmt w:val="lowerRoman"/>
      <w:lvlText w:val="%3."/>
      <w:lvlJc w:val="right"/>
      <w:pPr>
        <w:ind w:left="2160" w:hanging="180"/>
      </w:pPr>
    </w:lvl>
    <w:lvl w:ilvl="3" w:tplc="5CE0765C" w:tentative="1">
      <w:start w:val="1"/>
      <w:numFmt w:val="decimal"/>
      <w:lvlText w:val="%4."/>
      <w:lvlJc w:val="left"/>
      <w:pPr>
        <w:ind w:left="2880" w:hanging="360"/>
      </w:pPr>
    </w:lvl>
    <w:lvl w:ilvl="4" w:tplc="3D843BC6" w:tentative="1">
      <w:start w:val="1"/>
      <w:numFmt w:val="lowerLetter"/>
      <w:lvlText w:val="%5."/>
      <w:lvlJc w:val="left"/>
      <w:pPr>
        <w:ind w:left="3600" w:hanging="360"/>
      </w:pPr>
    </w:lvl>
    <w:lvl w:ilvl="5" w:tplc="667C0C36" w:tentative="1">
      <w:start w:val="1"/>
      <w:numFmt w:val="lowerRoman"/>
      <w:lvlText w:val="%6."/>
      <w:lvlJc w:val="right"/>
      <w:pPr>
        <w:ind w:left="4320" w:hanging="180"/>
      </w:pPr>
    </w:lvl>
    <w:lvl w:ilvl="6" w:tplc="ED4C2E64" w:tentative="1">
      <w:start w:val="1"/>
      <w:numFmt w:val="decimal"/>
      <w:lvlText w:val="%7."/>
      <w:lvlJc w:val="left"/>
      <w:pPr>
        <w:ind w:left="5040" w:hanging="360"/>
      </w:pPr>
    </w:lvl>
    <w:lvl w:ilvl="7" w:tplc="1FC06618" w:tentative="1">
      <w:start w:val="1"/>
      <w:numFmt w:val="lowerLetter"/>
      <w:lvlText w:val="%8."/>
      <w:lvlJc w:val="left"/>
      <w:pPr>
        <w:ind w:left="5760" w:hanging="360"/>
      </w:pPr>
    </w:lvl>
    <w:lvl w:ilvl="8" w:tplc="FFE465B2" w:tentative="1">
      <w:start w:val="1"/>
      <w:numFmt w:val="lowerRoman"/>
      <w:lvlText w:val="%9."/>
      <w:lvlJc w:val="right"/>
      <w:pPr>
        <w:ind w:left="6480" w:hanging="180"/>
      </w:pPr>
    </w:lvl>
  </w:abstractNum>
  <w:abstractNum w:abstractNumId="23">
    <w:nsid w:val="399D747A"/>
    <w:multiLevelType w:val="hybridMultilevel"/>
    <w:tmpl w:val="6D90AD84"/>
    <w:lvl w:ilvl="0" w:tplc="E1842810">
      <w:start w:val="1"/>
      <w:numFmt w:val="bullet"/>
      <w:pStyle w:val="IANSABulletPoint2"/>
      <w:lvlText w:val="–"/>
      <w:lvlJc w:val="left"/>
      <w:pPr>
        <w:ind w:left="567" w:hanging="283"/>
      </w:pPr>
      <w:rPr>
        <w:rFonts w:ascii="Poppins" w:hAnsi="Poppins" w:hint="default"/>
        <w:b w:val="0"/>
        <w:i w:val="0"/>
        <w:color w:val="878787"/>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DD37EB4"/>
    <w:multiLevelType w:val="hybridMultilevel"/>
    <w:tmpl w:val="3260FB0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715B2F"/>
    <w:multiLevelType w:val="hybridMultilevel"/>
    <w:tmpl w:val="87FEA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5411AF4"/>
    <w:multiLevelType w:val="hybridMultilevel"/>
    <w:tmpl w:val="729C3B32"/>
    <w:lvl w:ilvl="0" w:tplc="0409000F">
      <w:start w:val="1"/>
      <w:numFmt w:val="decimal"/>
      <w:lvlText w:val="%1."/>
      <w:lvlJc w:val="left"/>
      <w:pPr>
        <w:ind w:left="284" w:hanging="284"/>
      </w:pPr>
      <w:rPr>
        <w:rFonts w:hint="default"/>
        <w:color w:val="1ECAD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59C223D"/>
    <w:multiLevelType w:val="hybridMultilevel"/>
    <w:tmpl w:val="3BA82DA6"/>
    <w:lvl w:ilvl="0" w:tplc="99969D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9D25B0"/>
    <w:multiLevelType w:val="hybridMultilevel"/>
    <w:tmpl w:val="38C67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246F52"/>
    <w:multiLevelType w:val="hybridMultilevel"/>
    <w:tmpl w:val="2FEA8DFC"/>
    <w:lvl w:ilvl="0" w:tplc="2D74FF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563215"/>
    <w:multiLevelType w:val="hybridMultilevel"/>
    <w:tmpl w:val="1324CE6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4F0070"/>
    <w:multiLevelType w:val="hybridMultilevel"/>
    <w:tmpl w:val="44B2B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C65134"/>
    <w:multiLevelType w:val="hybridMultilevel"/>
    <w:tmpl w:val="DB3E65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ACE65BE"/>
    <w:multiLevelType w:val="hybridMultilevel"/>
    <w:tmpl w:val="CB60B268"/>
    <w:lvl w:ilvl="0" w:tplc="0409000F">
      <w:start w:val="1"/>
      <w:numFmt w:val="decimal"/>
      <w:lvlText w:val="%1."/>
      <w:lvlJc w:val="left"/>
      <w:pPr>
        <w:ind w:left="284" w:hanging="284"/>
      </w:pPr>
      <w:rPr>
        <w:rFonts w:hint="default"/>
        <w:color w:val="1ECAD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CC367B1"/>
    <w:multiLevelType w:val="hybridMultilevel"/>
    <w:tmpl w:val="5F34D930"/>
    <w:lvl w:ilvl="0" w:tplc="0409000F">
      <w:start w:val="1"/>
      <w:numFmt w:val="decimal"/>
      <w:lvlText w:val="%1."/>
      <w:lvlJc w:val="left"/>
      <w:pPr>
        <w:ind w:left="284" w:hanging="284"/>
      </w:pPr>
      <w:rPr>
        <w:rFonts w:hint="default"/>
        <w:color w:val="1ECAD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D304272"/>
    <w:multiLevelType w:val="hybridMultilevel"/>
    <w:tmpl w:val="CB064AB6"/>
    <w:lvl w:ilvl="0" w:tplc="83ACC9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1170D9"/>
    <w:multiLevelType w:val="hybridMultilevel"/>
    <w:tmpl w:val="0A7A6278"/>
    <w:lvl w:ilvl="0" w:tplc="8EF013A8">
      <w:start w:val="1"/>
      <w:numFmt w:val="decimal"/>
      <w:lvlText w:val="%1."/>
      <w:lvlJc w:val="left"/>
      <w:pPr>
        <w:ind w:left="720" w:hanging="360"/>
      </w:pPr>
    </w:lvl>
    <w:lvl w:ilvl="1" w:tplc="85FEEA06" w:tentative="1">
      <w:start w:val="1"/>
      <w:numFmt w:val="lowerLetter"/>
      <w:lvlText w:val="%2."/>
      <w:lvlJc w:val="left"/>
      <w:pPr>
        <w:ind w:left="1440" w:hanging="360"/>
      </w:pPr>
    </w:lvl>
    <w:lvl w:ilvl="2" w:tplc="8BCA31B6" w:tentative="1">
      <w:start w:val="1"/>
      <w:numFmt w:val="lowerRoman"/>
      <w:lvlText w:val="%3."/>
      <w:lvlJc w:val="right"/>
      <w:pPr>
        <w:ind w:left="2160" w:hanging="180"/>
      </w:pPr>
    </w:lvl>
    <w:lvl w:ilvl="3" w:tplc="9D2C3054" w:tentative="1">
      <w:start w:val="1"/>
      <w:numFmt w:val="decimal"/>
      <w:lvlText w:val="%4."/>
      <w:lvlJc w:val="left"/>
      <w:pPr>
        <w:ind w:left="2880" w:hanging="360"/>
      </w:pPr>
    </w:lvl>
    <w:lvl w:ilvl="4" w:tplc="977E2E42" w:tentative="1">
      <w:start w:val="1"/>
      <w:numFmt w:val="lowerLetter"/>
      <w:lvlText w:val="%5."/>
      <w:lvlJc w:val="left"/>
      <w:pPr>
        <w:ind w:left="3600" w:hanging="360"/>
      </w:pPr>
    </w:lvl>
    <w:lvl w:ilvl="5" w:tplc="ECCC04D0" w:tentative="1">
      <w:start w:val="1"/>
      <w:numFmt w:val="lowerRoman"/>
      <w:lvlText w:val="%6."/>
      <w:lvlJc w:val="right"/>
      <w:pPr>
        <w:ind w:left="4320" w:hanging="180"/>
      </w:pPr>
    </w:lvl>
    <w:lvl w:ilvl="6" w:tplc="02A02336" w:tentative="1">
      <w:start w:val="1"/>
      <w:numFmt w:val="decimal"/>
      <w:lvlText w:val="%7."/>
      <w:lvlJc w:val="left"/>
      <w:pPr>
        <w:ind w:left="5040" w:hanging="360"/>
      </w:pPr>
    </w:lvl>
    <w:lvl w:ilvl="7" w:tplc="2962E504" w:tentative="1">
      <w:start w:val="1"/>
      <w:numFmt w:val="lowerLetter"/>
      <w:lvlText w:val="%8."/>
      <w:lvlJc w:val="left"/>
      <w:pPr>
        <w:ind w:left="5760" w:hanging="360"/>
      </w:pPr>
    </w:lvl>
    <w:lvl w:ilvl="8" w:tplc="6638FB48" w:tentative="1">
      <w:start w:val="1"/>
      <w:numFmt w:val="lowerRoman"/>
      <w:lvlText w:val="%9."/>
      <w:lvlJc w:val="right"/>
      <w:pPr>
        <w:ind w:left="6480" w:hanging="180"/>
      </w:pPr>
    </w:lvl>
  </w:abstractNum>
  <w:abstractNum w:abstractNumId="37">
    <w:nsid w:val="6BB95A7F"/>
    <w:multiLevelType w:val="hybridMultilevel"/>
    <w:tmpl w:val="E580E4FC"/>
    <w:lvl w:ilvl="0" w:tplc="0409000F">
      <w:start w:val="1"/>
      <w:numFmt w:val="decimal"/>
      <w:lvlText w:val="%1."/>
      <w:lvlJc w:val="left"/>
      <w:pPr>
        <w:ind w:left="284" w:hanging="284"/>
      </w:pPr>
      <w:rPr>
        <w:rFonts w:hint="default"/>
        <w:color w:val="1ECAD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BEC7C56"/>
    <w:multiLevelType w:val="hybridMultilevel"/>
    <w:tmpl w:val="8F320E38"/>
    <w:lvl w:ilvl="0" w:tplc="0409000F">
      <w:start w:val="1"/>
      <w:numFmt w:val="decimal"/>
      <w:lvlText w:val="%1."/>
      <w:lvlJc w:val="left"/>
      <w:pPr>
        <w:ind w:left="284" w:hanging="284"/>
      </w:pPr>
      <w:rPr>
        <w:rFonts w:hint="default"/>
        <w:color w:val="1ECAD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3BD6D2E"/>
    <w:multiLevelType w:val="hybridMultilevel"/>
    <w:tmpl w:val="91B409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3EF57E0"/>
    <w:multiLevelType w:val="hybridMultilevel"/>
    <w:tmpl w:val="D5C44DC6"/>
    <w:lvl w:ilvl="0" w:tplc="3B327E3A">
      <w:start w:val="1"/>
      <w:numFmt w:val="decimal"/>
      <w:lvlText w:val="%1."/>
      <w:lvlJc w:val="left"/>
      <w:pPr>
        <w:ind w:left="720" w:hanging="360"/>
      </w:pPr>
    </w:lvl>
    <w:lvl w:ilvl="1" w:tplc="F93879F8" w:tentative="1">
      <w:start w:val="1"/>
      <w:numFmt w:val="lowerLetter"/>
      <w:lvlText w:val="%2."/>
      <w:lvlJc w:val="left"/>
      <w:pPr>
        <w:ind w:left="1440" w:hanging="360"/>
      </w:pPr>
    </w:lvl>
    <w:lvl w:ilvl="2" w:tplc="B552B450" w:tentative="1">
      <w:start w:val="1"/>
      <w:numFmt w:val="lowerRoman"/>
      <w:lvlText w:val="%3."/>
      <w:lvlJc w:val="right"/>
      <w:pPr>
        <w:ind w:left="2160" w:hanging="180"/>
      </w:pPr>
    </w:lvl>
    <w:lvl w:ilvl="3" w:tplc="D9E6ECA8" w:tentative="1">
      <w:start w:val="1"/>
      <w:numFmt w:val="decimal"/>
      <w:lvlText w:val="%4."/>
      <w:lvlJc w:val="left"/>
      <w:pPr>
        <w:ind w:left="2880" w:hanging="360"/>
      </w:pPr>
    </w:lvl>
    <w:lvl w:ilvl="4" w:tplc="6DDC3360" w:tentative="1">
      <w:start w:val="1"/>
      <w:numFmt w:val="lowerLetter"/>
      <w:lvlText w:val="%5."/>
      <w:lvlJc w:val="left"/>
      <w:pPr>
        <w:ind w:left="3600" w:hanging="360"/>
      </w:pPr>
    </w:lvl>
    <w:lvl w:ilvl="5" w:tplc="38988D52" w:tentative="1">
      <w:start w:val="1"/>
      <w:numFmt w:val="lowerRoman"/>
      <w:lvlText w:val="%6."/>
      <w:lvlJc w:val="right"/>
      <w:pPr>
        <w:ind w:left="4320" w:hanging="180"/>
      </w:pPr>
    </w:lvl>
    <w:lvl w:ilvl="6" w:tplc="FB62829A" w:tentative="1">
      <w:start w:val="1"/>
      <w:numFmt w:val="decimal"/>
      <w:lvlText w:val="%7."/>
      <w:lvlJc w:val="left"/>
      <w:pPr>
        <w:ind w:left="5040" w:hanging="360"/>
      </w:pPr>
    </w:lvl>
    <w:lvl w:ilvl="7" w:tplc="D6169B7E" w:tentative="1">
      <w:start w:val="1"/>
      <w:numFmt w:val="lowerLetter"/>
      <w:lvlText w:val="%8."/>
      <w:lvlJc w:val="left"/>
      <w:pPr>
        <w:ind w:left="5760" w:hanging="360"/>
      </w:pPr>
    </w:lvl>
    <w:lvl w:ilvl="8" w:tplc="D0BC3A58" w:tentative="1">
      <w:start w:val="1"/>
      <w:numFmt w:val="lowerRoman"/>
      <w:lvlText w:val="%9."/>
      <w:lvlJc w:val="right"/>
      <w:pPr>
        <w:ind w:left="6480" w:hanging="180"/>
      </w:pPr>
    </w:lvl>
  </w:abstractNum>
  <w:abstractNum w:abstractNumId="41">
    <w:nsid w:val="78ED73DD"/>
    <w:multiLevelType w:val="multilevel"/>
    <w:tmpl w:val="5B8A1D5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9"/>
  </w:num>
  <w:num w:numId="2">
    <w:abstractNumId w:val="10"/>
  </w:num>
  <w:num w:numId="3">
    <w:abstractNumId w:val="15"/>
  </w:num>
  <w:num w:numId="4">
    <w:abstractNumId w:val="24"/>
  </w:num>
  <w:num w:numId="5">
    <w:abstractNumId w:val="30"/>
  </w:num>
  <w:num w:numId="6">
    <w:abstractNumId w:val="32"/>
  </w:num>
  <w:num w:numId="7">
    <w:abstractNumId w:val="12"/>
  </w:num>
  <w:num w:numId="8">
    <w:abstractNumId w:val="14"/>
  </w:num>
  <w:num w:numId="9">
    <w:abstractNumId w:val="19"/>
  </w:num>
  <w:num w:numId="10">
    <w:abstractNumId w:val="13"/>
  </w:num>
  <w:num w:numId="11">
    <w:abstractNumId w:val="23"/>
  </w:num>
  <w:num w:numId="12">
    <w:abstractNumId w:val="0"/>
  </w:num>
  <w:num w:numId="13">
    <w:abstractNumId w:val="1"/>
  </w:num>
  <w:num w:numId="14">
    <w:abstractNumId w:val="2"/>
  </w:num>
  <w:num w:numId="15">
    <w:abstractNumId w:val="3"/>
  </w:num>
  <w:num w:numId="16">
    <w:abstractNumId w:val="8"/>
  </w:num>
  <w:num w:numId="17">
    <w:abstractNumId w:val="4"/>
  </w:num>
  <w:num w:numId="18">
    <w:abstractNumId w:val="5"/>
  </w:num>
  <w:num w:numId="19">
    <w:abstractNumId w:val="6"/>
  </w:num>
  <w:num w:numId="20">
    <w:abstractNumId w:val="7"/>
  </w:num>
  <w:num w:numId="21">
    <w:abstractNumId w:val="9"/>
  </w:num>
  <w:num w:numId="22">
    <w:abstractNumId w:val="21"/>
  </w:num>
  <w:num w:numId="23">
    <w:abstractNumId w:val="41"/>
  </w:num>
  <w:num w:numId="24">
    <w:abstractNumId w:val="40"/>
  </w:num>
  <w:num w:numId="25">
    <w:abstractNumId w:val="22"/>
  </w:num>
  <w:num w:numId="26">
    <w:abstractNumId w:val="20"/>
  </w:num>
  <w:num w:numId="27">
    <w:abstractNumId w:val="36"/>
  </w:num>
  <w:num w:numId="28">
    <w:abstractNumId w:val="38"/>
  </w:num>
  <w:num w:numId="29">
    <w:abstractNumId w:val="34"/>
  </w:num>
  <w:num w:numId="30">
    <w:abstractNumId w:val="37"/>
  </w:num>
  <w:num w:numId="31">
    <w:abstractNumId w:val="26"/>
  </w:num>
  <w:num w:numId="32">
    <w:abstractNumId w:val="18"/>
  </w:num>
  <w:num w:numId="33">
    <w:abstractNumId w:val="33"/>
  </w:num>
  <w:num w:numId="34">
    <w:abstractNumId w:val="31"/>
  </w:num>
  <w:num w:numId="35">
    <w:abstractNumId w:val="25"/>
  </w:num>
  <w:num w:numId="36">
    <w:abstractNumId w:val="35"/>
  </w:num>
  <w:num w:numId="37">
    <w:abstractNumId w:val="11"/>
  </w:num>
  <w:num w:numId="38">
    <w:abstractNumId w:val="29"/>
  </w:num>
  <w:num w:numId="39">
    <w:abstractNumId w:val="17"/>
  </w:num>
  <w:num w:numId="40">
    <w:abstractNumId w:val="16"/>
  </w:num>
  <w:num w:numId="41">
    <w:abstractNumId w:val="28"/>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EBB"/>
    <w:rsid w:val="00006A7E"/>
    <w:rsid w:val="00006D31"/>
    <w:rsid w:val="000107FF"/>
    <w:rsid w:val="00011268"/>
    <w:rsid w:val="000157FD"/>
    <w:rsid w:val="00015D21"/>
    <w:rsid w:val="00021759"/>
    <w:rsid w:val="00022D93"/>
    <w:rsid w:val="000306A8"/>
    <w:rsid w:val="00032AAE"/>
    <w:rsid w:val="00042710"/>
    <w:rsid w:val="00042A61"/>
    <w:rsid w:val="00050848"/>
    <w:rsid w:val="000530AC"/>
    <w:rsid w:val="00055EFF"/>
    <w:rsid w:val="0006090D"/>
    <w:rsid w:val="00061ADF"/>
    <w:rsid w:val="00065B32"/>
    <w:rsid w:val="000662E6"/>
    <w:rsid w:val="00070D82"/>
    <w:rsid w:val="00071AF2"/>
    <w:rsid w:val="00075051"/>
    <w:rsid w:val="00085B1F"/>
    <w:rsid w:val="00096C4C"/>
    <w:rsid w:val="000A511E"/>
    <w:rsid w:val="000A54E0"/>
    <w:rsid w:val="000A704F"/>
    <w:rsid w:val="000B004C"/>
    <w:rsid w:val="000B380B"/>
    <w:rsid w:val="000B451D"/>
    <w:rsid w:val="000B4FCE"/>
    <w:rsid w:val="000B6246"/>
    <w:rsid w:val="000B776C"/>
    <w:rsid w:val="000C7AB0"/>
    <w:rsid w:val="000D1083"/>
    <w:rsid w:val="000D675B"/>
    <w:rsid w:val="000E4073"/>
    <w:rsid w:val="000E49CF"/>
    <w:rsid w:val="000E5AE7"/>
    <w:rsid w:val="000F22CE"/>
    <w:rsid w:val="000F474E"/>
    <w:rsid w:val="000F793C"/>
    <w:rsid w:val="00105E54"/>
    <w:rsid w:val="00114028"/>
    <w:rsid w:val="001143AD"/>
    <w:rsid w:val="001148BB"/>
    <w:rsid w:val="00115537"/>
    <w:rsid w:val="001201D5"/>
    <w:rsid w:val="00120941"/>
    <w:rsid w:val="00124433"/>
    <w:rsid w:val="00124FC5"/>
    <w:rsid w:val="00134398"/>
    <w:rsid w:val="0014299F"/>
    <w:rsid w:val="001460BC"/>
    <w:rsid w:val="00151571"/>
    <w:rsid w:val="00151C01"/>
    <w:rsid w:val="00154D76"/>
    <w:rsid w:val="00160FF6"/>
    <w:rsid w:val="0016149D"/>
    <w:rsid w:val="001632BA"/>
    <w:rsid w:val="00164389"/>
    <w:rsid w:val="00166495"/>
    <w:rsid w:val="00170E3B"/>
    <w:rsid w:val="00170E7B"/>
    <w:rsid w:val="00171594"/>
    <w:rsid w:val="00182AD4"/>
    <w:rsid w:val="0018446D"/>
    <w:rsid w:val="00184F9A"/>
    <w:rsid w:val="001A3B0C"/>
    <w:rsid w:val="001B07FB"/>
    <w:rsid w:val="001B0B57"/>
    <w:rsid w:val="001B4CD6"/>
    <w:rsid w:val="001C112C"/>
    <w:rsid w:val="001C39E7"/>
    <w:rsid w:val="001C688A"/>
    <w:rsid w:val="001C6A05"/>
    <w:rsid w:val="001D1A42"/>
    <w:rsid w:val="001E256D"/>
    <w:rsid w:val="001F2748"/>
    <w:rsid w:val="001F2C71"/>
    <w:rsid w:val="001F6509"/>
    <w:rsid w:val="002123E0"/>
    <w:rsid w:val="00212DDD"/>
    <w:rsid w:val="00214269"/>
    <w:rsid w:val="002150D9"/>
    <w:rsid w:val="00215FD3"/>
    <w:rsid w:val="0022410E"/>
    <w:rsid w:val="00226E3F"/>
    <w:rsid w:val="0023068F"/>
    <w:rsid w:val="00232F9A"/>
    <w:rsid w:val="0023575B"/>
    <w:rsid w:val="002373DF"/>
    <w:rsid w:val="00240A81"/>
    <w:rsid w:val="0024584E"/>
    <w:rsid w:val="00246CDD"/>
    <w:rsid w:val="002507F0"/>
    <w:rsid w:val="00252835"/>
    <w:rsid w:val="00253EA4"/>
    <w:rsid w:val="00254183"/>
    <w:rsid w:val="00260116"/>
    <w:rsid w:val="00261D9F"/>
    <w:rsid w:val="0026296C"/>
    <w:rsid w:val="0027030D"/>
    <w:rsid w:val="00273594"/>
    <w:rsid w:val="002756D5"/>
    <w:rsid w:val="00276EE2"/>
    <w:rsid w:val="0028170C"/>
    <w:rsid w:val="0028333F"/>
    <w:rsid w:val="00285EA1"/>
    <w:rsid w:val="00295339"/>
    <w:rsid w:val="0029564A"/>
    <w:rsid w:val="00297C3C"/>
    <w:rsid w:val="002A19BC"/>
    <w:rsid w:val="002A6741"/>
    <w:rsid w:val="002B58AF"/>
    <w:rsid w:val="002B5FEF"/>
    <w:rsid w:val="002C481A"/>
    <w:rsid w:val="002E0B5D"/>
    <w:rsid w:val="002E527E"/>
    <w:rsid w:val="002F0CF7"/>
    <w:rsid w:val="002F4262"/>
    <w:rsid w:val="002F4646"/>
    <w:rsid w:val="00305AD6"/>
    <w:rsid w:val="00305C1F"/>
    <w:rsid w:val="003206FC"/>
    <w:rsid w:val="003220C1"/>
    <w:rsid w:val="00323612"/>
    <w:rsid w:val="003237A5"/>
    <w:rsid w:val="00324C77"/>
    <w:rsid w:val="00326CB8"/>
    <w:rsid w:val="0033478C"/>
    <w:rsid w:val="003406B3"/>
    <w:rsid w:val="00343B9D"/>
    <w:rsid w:val="00346F19"/>
    <w:rsid w:val="00347360"/>
    <w:rsid w:val="0035064F"/>
    <w:rsid w:val="00351DFD"/>
    <w:rsid w:val="00354878"/>
    <w:rsid w:val="00375537"/>
    <w:rsid w:val="00377191"/>
    <w:rsid w:val="003840D9"/>
    <w:rsid w:val="0039255A"/>
    <w:rsid w:val="003B0120"/>
    <w:rsid w:val="003C40E1"/>
    <w:rsid w:val="003C794D"/>
    <w:rsid w:val="003E3FC1"/>
    <w:rsid w:val="003E6664"/>
    <w:rsid w:val="003E71F4"/>
    <w:rsid w:val="003F18E9"/>
    <w:rsid w:val="003F3032"/>
    <w:rsid w:val="003F3DA3"/>
    <w:rsid w:val="003F78BC"/>
    <w:rsid w:val="0040649E"/>
    <w:rsid w:val="004100FD"/>
    <w:rsid w:val="0041502E"/>
    <w:rsid w:val="00417D08"/>
    <w:rsid w:val="00421D1D"/>
    <w:rsid w:val="0042362F"/>
    <w:rsid w:val="00424F48"/>
    <w:rsid w:val="0042770F"/>
    <w:rsid w:val="004325E7"/>
    <w:rsid w:val="00434AF0"/>
    <w:rsid w:val="0044357D"/>
    <w:rsid w:val="00451D13"/>
    <w:rsid w:val="004544FC"/>
    <w:rsid w:val="00454913"/>
    <w:rsid w:val="00457619"/>
    <w:rsid w:val="004645FB"/>
    <w:rsid w:val="004736C9"/>
    <w:rsid w:val="0047386E"/>
    <w:rsid w:val="00473F4B"/>
    <w:rsid w:val="00475ECE"/>
    <w:rsid w:val="0048053A"/>
    <w:rsid w:val="00486C98"/>
    <w:rsid w:val="00491510"/>
    <w:rsid w:val="0049388A"/>
    <w:rsid w:val="004A01DC"/>
    <w:rsid w:val="004B58E1"/>
    <w:rsid w:val="004B59FF"/>
    <w:rsid w:val="004B5CC9"/>
    <w:rsid w:val="004B6CEF"/>
    <w:rsid w:val="004B775D"/>
    <w:rsid w:val="004C1E8F"/>
    <w:rsid w:val="004C5FA1"/>
    <w:rsid w:val="004C6A48"/>
    <w:rsid w:val="004D51B8"/>
    <w:rsid w:val="004D5E71"/>
    <w:rsid w:val="004D7558"/>
    <w:rsid w:val="004E2FBD"/>
    <w:rsid w:val="004E51EF"/>
    <w:rsid w:val="004E5339"/>
    <w:rsid w:val="004E5AF8"/>
    <w:rsid w:val="004E67DD"/>
    <w:rsid w:val="004E6A50"/>
    <w:rsid w:val="004F0C28"/>
    <w:rsid w:val="00500204"/>
    <w:rsid w:val="00503020"/>
    <w:rsid w:val="00504096"/>
    <w:rsid w:val="00512BEC"/>
    <w:rsid w:val="0052011D"/>
    <w:rsid w:val="00520B20"/>
    <w:rsid w:val="00543478"/>
    <w:rsid w:val="00544D25"/>
    <w:rsid w:val="00552752"/>
    <w:rsid w:val="0056004E"/>
    <w:rsid w:val="005603DF"/>
    <w:rsid w:val="00562D89"/>
    <w:rsid w:val="00564995"/>
    <w:rsid w:val="00564F24"/>
    <w:rsid w:val="00565CB4"/>
    <w:rsid w:val="00571795"/>
    <w:rsid w:val="00574238"/>
    <w:rsid w:val="00574933"/>
    <w:rsid w:val="005829BE"/>
    <w:rsid w:val="0058534E"/>
    <w:rsid w:val="0058578D"/>
    <w:rsid w:val="00585B22"/>
    <w:rsid w:val="00587355"/>
    <w:rsid w:val="00587815"/>
    <w:rsid w:val="00592D9C"/>
    <w:rsid w:val="00593567"/>
    <w:rsid w:val="0059604F"/>
    <w:rsid w:val="005A64EA"/>
    <w:rsid w:val="005B4B3A"/>
    <w:rsid w:val="005B6262"/>
    <w:rsid w:val="005C3555"/>
    <w:rsid w:val="005C3612"/>
    <w:rsid w:val="005C3BE9"/>
    <w:rsid w:val="005C3BF3"/>
    <w:rsid w:val="005C4EEC"/>
    <w:rsid w:val="005C5EF7"/>
    <w:rsid w:val="005D75DB"/>
    <w:rsid w:val="005E0AA5"/>
    <w:rsid w:val="005E6C4A"/>
    <w:rsid w:val="005F02B7"/>
    <w:rsid w:val="00614D01"/>
    <w:rsid w:val="00617D33"/>
    <w:rsid w:val="006307B3"/>
    <w:rsid w:val="006338E5"/>
    <w:rsid w:val="006435F2"/>
    <w:rsid w:val="00646084"/>
    <w:rsid w:val="006472EF"/>
    <w:rsid w:val="00664D93"/>
    <w:rsid w:val="0066541C"/>
    <w:rsid w:val="00666FF8"/>
    <w:rsid w:val="00667457"/>
    <w:rsid w:val="00674CEC"/>
    <w:rsid w:val="00676949"/>
    <w:rsid w:val="00680DC4"/>
    <w:rsid w:val="00684A14"/>
    <w:rsid w:val="0068689A"/>
    <w:rsid w:val="006A2C0F"/>
    <w:rsid w:val="006A459D"/>
    <w:rsid w:val="006A71AC"/>
    <w:rsid w:val="006B31A2"/>
    <w:rsid w:val="006B625A"/>
    <w:rsid w:val="006C0EA2"/>
    <w:rsid w:val="006C2CCD"/>
    <w:rsid w:val="006C7A8E"/>
    <w:rsid w:val="006D0D3A"/>
    <w:rsid w:val="006D1AB9"/>
    <w:rsid w:val="006D419C"/>
    <w:rsid w:val="006D4284"/>
    <w:rsid w:val="006E3AE4"/>
    <w:rsid w:val="006E3DE2"/>
    <w:rsid w:val="006E41EB"/>
    <w:rsid w:val="006E5DE1"/>
    <w:rsid w:val="006F121A"/>
    <w:rsid w:val="006F203A"/>
    <w:rsid w:val="006F3B26"/>
    <w:rsid w:val="006F6860"/>
    <w:rsid w:val="006F7FB2"/>
    <w:rsid w:val="00700738"/>
    <w:rsid w:val="007062C7"/>
    <w:rsid w:val="00711826"/>
    <w:rsid w:val="00712DCB"/>
    <w:rsid w:val="007149CC"/>
    <w:rsid w:val="00714AE1"/>
    <w:rsid w:val="0071658A"/>
    <w:rsid w:val="00724406"/>
    <w:rsid w:val="00726FEE"/>
    <w:rsid w:val="00733350"/>
    <w:rsid w:val="007353A0"/>
    <w:rsid w:val="007360BA"/>
    <w:rsid w:val="00747634"/>
    <w:rsid w:val="007504CA"/>
    <w:rsid w:val="00764395"/>
    <w:rsid w:val="00765E7F"/>
    <w:rsid w:val="007676DA"/>
    <w:rsid w:val="007715D0"/>
    <w:rsid w:val="007723EA"/>
    <w:rsid w:val="0078099B"/>
    <w:rsid w:val="007830A1"/>
    <w:rsid w:val="007874E5"/>
    <w:rsid w:val="00790BD1"/>
    <w:rsid w:val="00790F20"/>
    <w:rsid w:val="007A43C3"/>
    <w:rsid w:val="007A4892"/>
    <w:rsid w:val="007A4C63"/>
    <w:rsid w:val="007B7B72"/>
    <w:rsid w:val="007C2CBB"/>
    <w:rsid w:val="007C51E9"/>
    <w:rsid w:val="007C6EE0"/>
    <w:rsid w:val="007D0F53"/>
    <w:rsid w:val="007D20E0"/>
    <w:rsid w:val="007D25D9"/>
    <w:rsid w:val="007D326D"/>
    <w:rsid w:val="007D5D62"/>
    <w:rsid w:val="007E0F1F"/>
    <w:rsid w:val="007E22AC"/>
    <w:rsid w:val="007E357E"/>
    <w:rsid w:val="007F430E"/>
    <w:rsid w:val="00800FD7"/>
    <w:rsid w:val="00801B28"/>
    <w:rsid w:val="00802904"/>
    <w:rsid w:val="00804315"/>
    <w:rsid w:val="00816871"/>
    <w:rsid w:val="008241AD"/>
    <w:rsid w:val="00826700"/>
    <w:rsid w:val="00826B36"/>
    <w:rsid w:val="008278D5"/>
    <w:rsid w:val="00830183"/>
    <w:rsid w:val="00833062"/>
    <w:rsid w:val="00834088"/>
    <w:rsid w:val="00835FFD"/>
    <w:rsid w:val="00842E87"/>
    <w:rsid w:val="00847FA5"/>
    <w:rsid w:val="008509A5"/>
    <w:rsid w:val="008555AC"/>
    <w:rsid w:val="0085600B"/>
    <w:rsid w:val="00857121"/>
    <w:rsid w:val="00864648"/>
    <w:rsid w:val="00864A3A"/>
    <w:rsid w:val="00865698"/>
    <w:rsid w:val="00876AEB"/>
    <w:rsid w:val="00877A66"/>
    <w:rsid w:val="00880A43"/>
    <w:rsid w:val="00881E85"/>
    <w:rsid w:val="00883E66"/>
    <w:rsid w:val="008A0CC8"/>
    <w:rsid w:val="008A2E10"/>
    <w:rsid w:val="008A4A1B"/>
    <w:rsid w:val="008A7673"/>
    <w:rsid w:val="008B0BD7"/>
    <w:rsid w:val="008B14C9"/>
    <w:rsid w:val="008B2AA4"/>
    <w:rsid w:val="008C5585"/>
    <w:rsid w:val="008D034B"/>
    <w:rsid w:val="008D19E4"/>
    <w:rsid w:val="008D3324"/>
    <w:rsid w:val="008D3711"/>
    <w:rsid w:val="008D45D5"/>
    <w:rsid w:val="008D5D5E"/>
    <w:rsid w:val="008D61EF"/>
    <w:rsid w:val="008D7587"/>
    <w:rsid w:val="008E3CC4"/>
    <w:rsid w:val="008E4AED"/>
    <w:rsid w:val="008F5390"/>
    <w:rsid w:val="008F5DD3"/>
    <w:rsid w:val="008F77D9"/>
    <w:rsid w:val="0090054C"/>
    <w:rsid w:val="00907C4A"/>
    <w:rsid w:val="009131BE"/>
    <w:rsid w:val="009209C9"/>
    <w:rsid w:val="009210DA"/>
    <w:rsid w:val="00921EBB"/>
    <w:rsid w:val="00927183"/>
    <w:rsid w:val="00927B1E"/>
    <w:rsid w:val="00931566"/>
    <w:rsid w:val="00931B6C"/>
    <w:rsid w:val="00934A59"/>
    <w:rsid w:val="00936106"/>
    <w:rsid w:val="00952E60"/>
    <w:rsid w:val="00954DB1"/>
    <w:rsid w:val="009553A9"/>
    <w:rsid w:val="00956792"/>
    <w:rsid w:val="009621A0"/>
    <w:rsid w:val="00971A41"/>
    <w:rsid w:val="00972F37"/>
    <w:rsid w:val="0098156B"/>
    <w:rsid w:val="00991885"/>
    <w:rsid w:val="009922F5"/>
    <w:rsid w:val="00994935"/>
    <w:rsid w:val="0099493B"/>
    <w:rsid w:val="009B6B3D"/>
    <w:rsid w:val="009B7E34"/>
    <w:rsid w:val="009C2711"/>
    <w:rsid w:val="009C7EEA"/>
    <w:rsid w:val="009D0261"/>
    <w:rsid w:val="009D0AA3"/>
    <w:rsid w:val="009D2F1C"/>
    <w:rsid w:val="009D310F"/>
    <w:rsid w:val="009D40B8"/>
    <w:rsid w:val="009D7EB0"/>
    <w:rsid w:val="009E1997"/>
    <w:rsid w:val="009E2423"/>
    <w:rsid w:val="009E2A87"/>
    <w:rsid w:val="009E39D9"/>
    <w:rsid w:val="009E3C59"/>
    <w:rsid w:val="009E585C"/>
    <w:rsid w:val="009E759E"/>
    <w:rsid w:val="009F3E88"/>
    <w:rsid w:val="009F4D40"/>
    <w:rsid w:val="009F6D1A"/>
    <w:rsid w:val="00A0353F"/>
    <w:rsid w:val="00A0602C"/>
    <w:rsid w:val="00A066EC"/>
    <w:rsid w:val="00A07B00"/>
    <w:rsid w:val="00A15474"/>
    <w:rsid w:val="00A159FF"/>
    <w:rsid w:val="00A2409F"/>
    <w:rsid w:val="00A24C23"/>
    <w:rsid w:val="00A34C8B"/>
    <w:rsid w:val="00A4043E"/>
    <w:rsid w:val="00A43602"/>
    <w:rsid w:val="00A56F90"/>
    <w:rsid w:val="00A6074C"/>
    <w:rsid w:val="00A71FBE"/>
    <w:rsid w:val="00A77F2E"/>
    <w:rsid w:val="00A80004"/>
    <w:rsid w:val="00A80279"/>
    <w:rsid w:val="00A81AF5"/>
    <w:rsid w:val="00A83A7A"/>
    <w:rsid w:val="00A84D73"/>
    <w:rsid w:val="00A9005B"/>
    <w:rsid w:val="00A94944"/>
    <w:rsid w:val="00AA05F3"/>
    <w:rsid w:val="00AA1E53"/>
    <w:rsid w:val="00AA306F"/>
    <w:rsid w:val="00AB395F"/>
    <w:rsid w:val="00AC06D6"/>
    <w:rsid w:val="00AC32E4"/>
    <w:rsid w:val="00AC5C55"/>
    <w:rsid w:val="00AC60A3"/>
    <w:rsid w:val="00AD1FA2"/>
    <w:rsid w:val="00AD1FFD"/>
    <w:rsid w:val="00AE1490"/>
    <w:rsid w:val="00AE260D"/>
    <w:rsid w:val="00AE4F1A"/>
    <w:rsid w:val="00AE66FD"/>
    <w:rsid w:val="00AF0886"/>
    <w:rsid w:val="00AF10BA"/>
    <w:rsid w:val="00AF12DC"/>
    <w:rsid w:val="00AF4A0B"/>
    <w:rsid w:val="00AF4FE7"/>
    <w:rsid w:val="00B053D9"/>
    <w:rsid w:val="00B149E4"/>
    <w:rsid w:val="00B164B0"/>
    <w:rsid w:val="00B16787"/>
    <w:rsid w:val="00B2502F"/>
    <w:rsid w:val="00B25454"/>
    <w:rsid w:val="00B372AC"/>
    <w:rsid w:val="00B407F9"/>
    <w:rsid w:val="00B44957"/>
    <w:rsid w:val="00B44FCD"/>
    <w:rsid w:val="00B50EDF"/>
    <w:rsid w:val="00B55011"/>
    <w:rsid w:val="00B55C14"/>
    <w:rsid w:val="00B629D9"/>
    <w:rsid w:val="00B65E89"/>
    <w:rsid w:val="00B66215"/>
    <w:rsid w:val="00B6656E"/>
    <w:rsid w:val="00B66C45"/>
    <w:rsid w:val="00B7581E"/>
    <w:rsid w:val="00B90987"/>
    <w:rsid w:val="00B92350"/>
    <w:rsid w:val="00B928F7"/>
    <w:rsid w:val="00B9498F"/>
    <w:rsid w:val="00B976BD"/>
    <w:rsid w:val="00BA5F03"/>
    <w:rsid w:val="00BB722A"/>
    <w:rsid w:val="00BC0B10"/>
    <w:rsid w:val="00BC5581"/>
    <w:rsid w:val="00BD015D"/>
    <w:rsid w:val="00BD3ABB"/>
    <w:rsid w:val="00BD700A"/>
    <w:rsid w:val="00BE2D25"/>
    <w:rsid w:val="00BE62C8"/>
    <w:rsid w:val="00BF16DC"/>
    <w:rsid w:val="00C05B31"/>
    <w:rsid w:val="00C12CEE"/>
    <w:rsid w:val="00C15951"/>
    <w:rsid w:val="00C15EF3"/>
    <w:rsid w:val="00C1650C"/>
    <w:rsid w:val="00C2446B"/>
    <w:rsid w:val="00C345D2"/>
    <w:rsid w:val="00C35EAA"/>
    <w:rsid w:val="00C36C17"/>
    <w:rsid w:val="00C40ADE"/>
    <w:rsid w:val="00C44D0C"/>
    <w:rsid w:val="00C46A1D"/>
    <w:rsid w:val="00C5042B"/>
    <w:rsid w:val="00C55E6F"/>
    <w:rsid w:val="00C56CE7"/>
    <w:rsid w:val="00C57D73"/>
    <w:rsid w:val="00C6499F"/>
    <w:rsid w:val="00C66320"/>
    <w:rsid w:val="00C70554"/>
    <w:rsid w:val="00C72A91"/>
    <w:rsid w:val="00C72C35"/>
    <w:rsid w:val="00C748EC"/>
    <w:rsid w:val="00C76C80"/>
    <w:rsid w:val="00C80884"/>
    <w:rsid w:val="00C9310E"/>
    <w:rsid w:val="00C948AC"/>
    <w:rsid w:val="00CA5443"/>
    <w:rsid w:val="00CB1234"/>
    <w:rsid w:val="00CB2CA9"/>
    <w:rsid w:val="00CC1EC1"/>
    <w:rsid w:val="00CC3009"/>
    <w:rsid w:val="00CC3291"/>
    <w:rsid w:val="00CC79A1"/>
    <w:rsid w:val="00CC7C40"/>
    <w:rsid w:val="00CD0DE0"/>
    <w:rsid w:val="00CD1735"/>
    <w:rsid w:val="00CD3665"/>
    <w:rsid w:val="00CE5F75"/>
    <w:rsid w:val="00CE693C"/>
    <w:rsid w:val="00CF26F4"/>
    <w:rsid w:val="00CF4E67"/>
    <w:rsid w:val="00CF4ED1"/>
    <w:rsid w:val="00CF73FF"/>
    <w:rsid w:val="00D0239B"/>
    <w:rsid w:val="00D0482E"/>
    <w:rsid w:val="00D11875"/>
    <w:rsid w:val="00D15E02"/>
    <w:rsid w:val="00D20413"/>
    <w:rsid w:val="00D20C31"/>
    <w:rsid w:val="00D2214F"/>
    <w:rsid w:val="00D2454D"/>
    <w:rsid w:val="00D25E23"/>
    <w:rsid w:val="00D31007"/>
    <w:rsid w:val="00D3374D"/>
    <w:rsid w:val="00D40A1E"/>
    <w:rsid w:val="00D41A1B"/>
    <w:rsid w:val="00D440D3"/>
    <w:rsid w:val="00D52450"/>
    <w:rsid w:val="00D52860"/>
    <w:rsid w:val="00D54B8E"/>
    <w:rsid w:val="00D602F6"/>
    <w:rsid w:val="00D70486"/>
    <w:rsid w:val="00D709AF"/>
    <w:rsid w:val="00D74729"/>
    <w:rsid w:val="00D75F06"/>
    <w:rsid w:val="00D7740D"/>
    <w:rsid w:val="00D805A3"/>
    <w:rsid w:val="00D8099F"/>
    <w:rsid w:val="00D81FC7"/>
    <w:rsid w:val="00D8395C"/>
    <w:rsid w:val="00D84729"/>
    <w:rsid w:val="00D84B13"/>
    <w:rsid w:val="00D8652B"/>
    <w:rsid w:val="00DA1215"/>
    <w:rsid w:val="00DA4C3C"/>
    <w:rsid w:val="00DB20D5"/>
    <w:rsid w:val="00DB21DA"/>
    <w:rsid w:val="00DB4DE6"/>
    <w:rsid w:val="00DB5E85"/>
    <w:rsid w:val="00DC201D"/>
    <w:rsid w:val="00DC30B0"/>
    <w:rsid w:val="00DD42D6"/>
    <w:rsid w:val="00DD7389"/>
    <w:rsid w:val="00DD7F55"/>
    <w:rsid w:val="00DE1958"/>
    <w:rsid w:val="00DE1CEE"/>
    <w:rsid w:val="00DE2102"/>
    <w:rsid w:val="00DE3E34"/>
    <w:rsid w:val="00DF151B"/>
    <w:rsid w:val="00DF1BD7"/>
    <w:rsid w:val="00DF7343"/>
    <w:rsid w:val="00E0028D"/>
    <w:rsid w:val="00E0036E"/>
    <w:rsid w:val="00E00B34"/>
    <w:rsid w:val="00E042C0"/>
    <w:rsid w:val="00E071A8"/>
    <w:rsid w:val="00E16252"/>
    <w:rsid w:val="00E1647A"/>
    <w:rsid w:val="00E233CF"/>
    <w:rsid w:val="00E2367A"/>
    <w:rsid w:val="00E23A9F"/>
    <w:rsid w:val="00E24611"/>
    <w:rsid w:val="00E307DC"/>
    <w:rsid w:val="00E31C1B"/>
    <w:rsid w:val="00E325B1"/>
    <w:rsid w:val="00E32A9D"/>
    <w:rsid w:val="00E32F71"/>
    <w:rsid w:val="00E337BD"/>
    <w:rsid w:val="00E35009"/>
    <w:rsid w:val="00E427E0"/>
    <w:rsid w:val="00E46D49"/>
    <w:rsid w:val="00E47413"/>
    <w:rsid w:val="00E52EDE"/>
    <w:rsid w:val="00E54676"/>
    <w:rsid w:val="00E56B9F"/>
    <w:rsid w:val="00E70346"/>
    <w:rsid w:val="00E7530C"/>
    <w:rsid w:val="00E75F98"/>
    <w:rsid w:val="00E77146"/>
    <w:rsid w:val="00E8017D"/>
    <w:rsid w:val="00E94CB3"/>
    <w:rsid w:val="00EB1F8A"/>
    <w:rsid w:val="00EB3F10"/>
    <w:rsid w:val="00EB4778"/>
    <w:rsid w:val="00EB5E29"/>
    <w:rsid w:val="00EC1B22"/>
    <w:rsid w:val="00EC20EB"/>
    <w:rsid w:val="00EC5F83"/>
    <w:rsid w:val="00ED0CC5"/>
    <w:rsid w:val="00ED1536"/>
    <w:rsid w:val="00EE4EBE"/>
    <w:rsid w:val="00EF7E36"/>
    <w:rsid w:val="00F00152"/>
    <w:rsid w:val="00F038A4"/>
    <w:rsid w:val="00F07517"/>
    <w:rsid w:val="00F16F4F"/>
    <w:rsid w:val="00F20954"/>
    <w:rsid w:val="00F20F6A"/>
    <w:rsid w:val="00F23609"/>
    <w:rsid w:val="00F257F9"/>
    <w:rsid w:val="00F2658F"/>
    <w:rsid w:val="00F43C3C"/>
    <w:rsid w:val="00F446C5"/>
    <w:rsid w:val="00F5224F"/>
    <w:rsid w:val="00F52ADC"/>
    <w:rsid w:val="00F53E6F"/>
    <w:rsid w:val="00F568AE"/>
    <w:rsid w:val="00F618F4"/>
    <w:rsid w:val="00F61A7B"/>
    <w:rsid w:val="00F65781"/>
    <w:rsid w:val="00F667E2"/>
    <w:rsid w:val="00F6791E"/>
    <w:rsid w:val="00F76417"/>
    <w:rsid w:val="00F80B0A"/>
    <w:rsid w:val="00F85C4D"/>
    <w:rsid w:val="00FA39F4"/>
    <w:rsid w:val="00FA49C5"/>
    <w:rsid w:val="00FA4A14"/>
    <w:rsid w:val="00FA7550"/>
    <w:rsid w:val="00FD008B"/>
    <w:rsid w:val="00FD36A5"/>
    <w:rsid w:val="00FD4F75"/>
    <w:rsid w:val="00FD61C1"/>
    <w:rsid w:val="00FE64FF"/>
    <w:rsid w:val="00FE6D85"/>
    <w:rsid w:val="00FF3241"/>
    <w:rsid w:val="00FF3BC9"/>
    <w:rsid w:val="00FF4F86"/>
    <w:rsid w:val="00FF5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5781C5"/>
  <w15:chartTrackingRefBased/>
  <w15:docId w15:val="{1AAA049C-2109-4DEB-81A8-D7D67AF3F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2454D"/>
    <w:rPr>
      <w:lang w:val="en-US"/>
    </w:rPr>
  </w:style>
  <w:style w:type="paragraph" w:styleId="Heading1">
    <w:name w:val="heading 1"/>
    <w:basedOn w:val="Normal"/>
    <w:next w:val="Normal"/>
    <w:link w:val="Heading1Char"/>
    <w:uiPriority w:val="9"/>
    <w:qFormat/>
    <w:rsid w:val="00EB4778"/>
    <w:pPr>
      <w:keepNext/>
      <w:keepLines/>
      <w:numPr>
        <w:numId w:val="3"/>
      </w:numPr>
      <w:pBdr>
        <w:bottom w:val="single" w:sz="4" w:space="1" w:color="807F8A" w:themeColor="text1" w:themeTint="A6"/>
      </w:pBdr>
      <w:spacing w:before="360" w:after="160" w:line="259" w:lineRule="auto"/>
      <w:outlineLvl w:val="0"/>
    </w:pPr>
    <w:rPr>
      <w:rFonts w:asciiTheme="majorHAnsi" w:eastAsiaTheme="majorEastAsia" w:hAnsiTheme="majorHAnsi" w:cstheme="majorBidi"/>
      <w:b/>
      <w:bCs/>
      <w:smallCaps/>
      <w:color w:val="414046" w:themeColor="text1"/>
      <w:sz w:val="36"/>
      <w:szCs w:val="36"/>
      <w:lang w:val="en-GB"/>
    </w:rPr>
  </w:style>
  <w:style w:type="paragraph" w:styleId="Heading2">
    <w:name w:val="heading 2"/>
    <w:basedOn w:val="Normal"/>
    <w:next w:val="Normal"/>
    <w:link w:val="Heading2Char"/>
    <w:uiPriority w:val="9"/>
    <w:unhideWhenUsed/>
    <w:qFormat/>
    <w:rsid w:val="00EB4778"/>
    <w:pPr>
      <w:keepNext/>
      <w:keepLines/>
      <w:numPr>
        <w:ilvl w:val="1"/>
        <w:numId w:val="3"/>
      </w:numPr>
      <w:spacing w:before="360" w:line="259" w:lineRule="auto"/>
      <w:outlineLvl w:val="1"/>
    </w:pPr>
    <w:rPr>
      <w:rFonts w:asciiTheme="majorHAnsi" w:eastAsiaTheme="majorEastAsia" w:hAnsiTheme="majorHAnsi" w:cstheme="majorBidi"/>
      <w:b/>
      <w:bCs/>
      <w:smallCaps/>
      <w:color w:val="414046" w:themeColor="text1"/>
      <w:sz w:val="28"/>
      <w:szCs w:val="28"/>
      <w:lang w:val="en-GB"/>
    </w:rPr>
  </w:style>
  <w:style w:type="paragraph" w:styleId="Heading3">
    <w:name w:val="heading 3"/>
    <w:basedOn w:val="Normal"/>
    <w:next w:val="Normal"/>
    <w:link w:val="Heading3Char"/>
    <w:uiPriority w:val="9"/>
    <w:unhideWhenUsed/>
    <w:qFormat/>
    <w:rsid w:val="00EB4778"/>
    <w:pPr>
      <w:keepNext/>
      <w:keepLines/>
      <w:numPr>
        <w:ilvl w:val="2"/>
        <w:numId w:val="3"/>
      </w:numPr>
      <w:spacing w:before="200" w:line="259" w:lineRule="auto"/>
      <w:ind w:left="720"/>
      <w:outlineLvl w:val="2"/>
    </w:pPr>
    <w:rPr>
      <w:rFonts w:asciiTheme="majorHAnsi" w:eastAsiaTheme="majorEastAsia" w:hAnsiTheme="majorHAnsi" w:cstheme="majorBidi"/>
      <w:b/>
      <w:bCs/>
      <w:color w:val="414046" w:themeColor="text1"/>
      <w:sz w:val="22"/>
      <w:szCs w:val="22"/>
      <w:lang w:val="en-GB"/>
    </w:rPr>
  </w:style>
  <w:style w:type="paragraph" w:styleId="Heading4">
    <w:name w:val="heading 4"/>
    <w:basedOn w:val="Normal"/>
    <w:next w:val="Normal"/>
    <w:link w:val="Heading4Char"/>
    <w:uiPriority w:val="9"/>
    <w:semiHidden/>
    <w:unhideWhenUsed/>
    <w:qFormat/>
    <w:rsid w:val="00EB4778"/>
    <w:pPr>
      <w:keepNext/>
      <w:keepLines/>
      <w:numPr>
        <w:ilvl w:val="3"/>
        <w:numId w:val="3"/>
      </w:numPr>
      <w:spacing w:before="200" w:line="259" w:lineRule="auto"/>
      <w:outlineLvl w:val="3"/>
    </w:pPr>
    <w:rPr>
      <w:rFonts w:asciiTheme="majorHAnsi" w:eastAsiaTheme="majorEastAsia" w:hAnsiTheme="majorHAnsi" w:cstheme="majorBidi"/>
      <w:b/>
      <w:bCs/>
      <w:i/>
      <w:iCs/>
      <w:color w:val="414046" w:themeColor="text1"/>
      <w:sz w:val="22"/>
      <w:szCs w:val="22"/>
      <w:lang w:val="en-GB"/>
    </w:rPr>
  </w:style>
  <w:style w:type="paragraph" w:styleId="Heading5">
    <w:name w:val="heading 5"/>
    <w:basedOn w:val="Normal"/>
    <w:next w:val="Normal"/>
    <w:link w:val="Heading5Char"/>
    <w:uiPriority w:val="9"/>
    <w:semiHidden/>
    <w:unhideWhenUsed/>
    <w:qFormat/>
    <w:rsid w:val="00EB4778"/>
    <w:pPr>
      <w:keepNext/>
      <w:keepLines/>
      <w:numPr>
        <w:ilvl w:val="4"/>
        <w:numId w:val="3"/>
      </w:numPr>
      <w:spacing w:before="200" w:line="259" w:lineRule="auto"/>
      <w:ind w:left="3600" w:hanging="360"/>
      <w:outlineLvl w:val="4"/>
    </w:pPr>
    <w:rPr>
      <w:rFonts w:asciiTheme="majorHAnsi" w:eastAsiaTheme="majorEastAsia" w:hAnsiTheme="majorHAnsi" w:cstheme="majorBidi"/>
      <w:color w:val="303034" w:themeColor="text2" w:themeShade="BF"/>
      <w:sz w:val="22"/>
      <w:szCs w:val="22"/>
      <w:lang w:val="en-GB"/>
    </w:rPr>
  </w:style>
  <w:style w:type="paragraph" w:styleId="Heading6">
    <w:name w:val="heading 6"/>
    <w:basedOn w:val="Normal"/>
    <w:next w:val="Normal"/>
    <w:link w:val="Heading6Char"/>
    <w:uiPriority w:val="9"/>
    <w:semiHidden/>
    <w:unhideWhenUsed/>
    <w:qFormat/>
    <w:rsid w:val="00EB4778"/>
    <w:pPr>
      <w:keepNext/>
      <w:keepLines/>
      <w:numPr>
        <w:ilvl w:val="5"/>
        <w:numId w:val="3"/>
      </w:numPr>
      <w:spacing w:before="200" w:line="259" w:lineRule="auto"/>
      <w:ind w:left="4320" w:hanging="360"/>
      <w:outlineLvl w:val="5"/>
    </w:pPr>
    <w:rPr>
      <w:rFonts w:asciiTheme="majorHAnsi" w:eastAsiaTheme="majorEastAsia" w:hAnsiTheme="majorHAnsi" w:cstheme="majorBidi"/>
      <w:i/>
      <w:iCs/>
      <w:color w:val="303034" w:themeColor="text2" w:themeShade="BF"/>
      <w:sz w:val="22"/>
      <w:szCs w:val="22"/>
      <w:lang w:val="en-GB"/>
    </w:rPr>
  </w:style>
  <w:style w:type="paragraph" w:styleId="Heading7">
    <w:name w:val="heading 7"/>
    <w:basedOn w:val="Normal"/>
    <w:next w:val="Normal"/>
    <w:link w:val="Heading7Char"/>
    <w:uiPriority w:val="9"/>
    <w:semiHidden/>
    <w:unhideWhenUsed/>
    <w:qFormat/>
    <w:rsid w:val="00EB4778"/>
    <w:pPr>
      <w:keepNext/>
      <w:keepLines/>
      <w:numPr>
        <w:ilvl w:val="6"/>
        <w:numId w:val="3"/>
      </w:numPr>
      <w:spacing w:before="200" w:line="259" w:lineRule="auto"/>
      <w:ind w:left="5040" w:hanging="360"/>
      <w:outlineLvl w:val="6"/>
    </w:pPr>
    <w:rPr>
      <w:rFonts w:asciiTheme="majorHAnsi" w:eastAsiaTheme="majorEastAsia" w:hAnsiTheme="majorHAnsi" w:cstheme="majorBidi"/>
      <w:i/>
      <w:iCs/>
      <w:color w:val="6E6D77" w:themeColor="text1" w:themeTint="BF"/>
      <w:sz w:val="22"/>
      <w:szCs w:val="22"/>
      <w:lang w:val="en-GB"/>
    </w:rPr>
  </w:style>
  <w:style w:type="paragraph" w:styleId="Heading8">
    <w:name w:val="heading 8"/>
    <w:basedOn w:val="Normal"/>
    <w:next w:val="Normal"/>
    <w:link w:val="Heading8Char"/>
    <w:uiPriority w:val="9"/>
    <w:semiHidden/>
    <w:unhideWhenUsed/>
    <w:qFormat/>
    <w:rsid w:val="00EB4778"/>
    <w:pPr>
      <w:keepNext/>
      <w:keepLines/>
      <w:numPr>
        <w:ilvl w:val="7"/>
        <w:numId w:val="3"/>
      </w:numPr>
      <w:spacing w:before="200" w:line="259" w:lineRule="auto"/>
      <w:ind w:left="5760" w:hanging="360"/>
      <w:outlineLvl w:val="7"/>
    </w:pPr>
    <w:rPr>
      <w:rFonts w:asciiTheme="majorHAnsi" w:eastAsiaTheme="majorEastAsia" w:hAnsiTheme="majorHAnsi" w:cstheme="majorBidi"/>
      <w:color w:val="6E6D77" w:themeColor="text1" w:themeTint="BF"/>
      <w:sz w:val="20"/>
      <w:szCs w:val="20"/>
      <w:lang w:val="en-GB"/>
    </w:rPr>
  </w:style>
  <w:style w:type="paragraph" w:styleId="Heading9">
    <w:name w:val="heading 9"/>
    <w:basedOn w:val="Normal"/>
    <w:next w:val="Normal"/>
    <w:link w:val="Heading9Char"/>
    <w:uiPriority w:val="9"/>
    <w:semiHidden/>
    <w:unhideWhenUsed/>
    <w:qFormat/>
    <w:rsid w:val="00EB4778"/>
    <w:pPr>
      <w:keepNext/>
      <w:keepLines/>
      <w:numPr>
        <w:ilvl w:val="8"/>
        <w:numId w:val="3"/>
      </w:numPr>
      <w:spacing w:before="200" w:line="259" w:lineRule="auto"/>
      <w:ind w:left="6480" w:hanging="360"/>
      <w:outlineLvl w:val="8"/>
    </w:pPr>
    <w:rPr>
      <w:rFonts w:asciiTheme="majorHAnsi" w:eastAsiaTheme="majorEastAsia" w:hAnsiTheme="majorHAnsi" w:cstheme="majorBidi"/>
      <w:i/>
      <w:iCs/>
      <w:color w:val="6E6D77"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28333F"/>
    <w:pPr>
      <w:jc w:val="both"/>
    </w:pPr>
    <w:rPr>
      <w:rFonts w:ascii="Times New Roman" w:eastAsiaTheme="minorEastAsia" w:hAnsi="Times New Roman" w:cs="Times New Roman"/>
      <w:sz w:val="22"/>
      <w:szCs w:val="22"/>
    </w:rPr>
  </w:style>
  <w:style w:type="paragraph" w:styleId="ListParagraph">
    <w:name w:val="List Paragraph"/>
    <w:basedOn w:val="Normal"/>
    <w:uiPriority w:val="34"/>
    <w:qFormat/>
    <w:rsid w:val="00A6074C"/>
    <w:pPr>
      <w:ind w:left="720"/>
      <w:contextualSpacing/>
    </w:pPr>
    <w:rPr>
      <w:lang w:val="en-CA"/>
    </w:rPr>
  </w:style>
  <w:style w:type="character" w:styleId="Hyperlink">
    <w:name w:val="Hyperlink"/>
    <w:basedOn w:val="DefaultParagraphFont"/>
    <w:uiPriority w:val="99"/>
    <w:unhideWhenUsed/>
    <w:rsid w:val="00E23A9F"/>
    <w:rPr>
      <w:rFonts w:ascii="Poppins" w:hAnsi="Poppins"/>
      <w:b w:val="0"/>
      <w:i w:val="0"/>
      <w:color w:val="001E61"/>
      <w:sz w:val="13"/>
      <w:u w:val="single"/>
    </w:rPr>
  </w:style>
  <w:style w:type="paragraph" w:styleId="BalloonText">
    <w:name w:val="Balloon Text"/>
    <w:basedOn w:val="Normal"/>
    <w:link w:val="BalloonTextChar"/>
    <w:uiPriority w:val="99"/>
    <w:semiHidden/>
    <w:unhideWhenUsed/>
    <w:rsid w:val="00A83A7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83A7A"/>
    <w:rPr>
      <w:rFonts w:ascii="Times New Roman" w:hAnsi="Times New Roman" w:cs="Times New Roman"/>
      <w:sz w:val="18"/>
      <w:szCs w:val="18"/>
      <w:lang w:val="en-US"/>
    </w:rPr>
  </w:style>
  <w:style w:type="character" w:styleId="FootnoteReference">
    <w:name w:val="footnote reference"/>
    <w:aliases w:val="ftref,4_G,4_G Char Char,Footnote number,Footnotes refss,Footnote Ref,16 Point,Superscript 6 Point,Footnote Refernece,Appel note de bas de p.,[0],Texto de nota al pie,referencia nota al pie,BVI fnr,Footnote text,callout,Ref,fr"/>
    <w:uiPriority w:val="99"/>
    <w:unhideWhenUsed/>
    <w:qFormat/>
    <w:rsid w:val="008C5585"/>
    <w:rPr>
      <w:rFonts w:ascii="Poppins" w:hAnsi="Poppins"/>
      <w:b w:val="0"/>
      <w:i w:val="0"/>
      <w:caps w:val="0"/>
      <w:smallCaps w:val="0"/>
      <w:strike w:val="0"/>
      <w:dstrike w:val="0"/>
      <w:vanish w:val="0"/>
      <w:color w:val="414047"/>
      <w:sz w:val="13"/>
      <w:u w:val="none"/>
      <w:vertAlign w:val="superscript"/>
    </w:rPr>
  </w:style>
  <w:style w:type="paragraph" w:customStyle="1" w:styleId="Footnote">
    <w:name w:val="Footnote"/>
    <w:basedOn w:val="FootnoteText"/>
    <w:next w:val="FootnoteText"/>
    <w:autoRedefine/>
    <w:qFormat/>
    <w:rsid w:val="00A83A7A"/>
  </w:style>
  <w:style w:type="paragraph" w:styleId="FootnoteText">
    <w:name w:val="footnote text"/>
    <w:aliases w:val="IANSA - Footnote text"/>
    <w:link w:val="FootnoteTextChar"/>
    <w:autoRedefine/>
    <w:uiPriority w:val="99"/>
    <w:unhideWhenUsed/>
    <w:qFormat/>
    <w:rsid w:val="00826B36"/>
    <w:pPr>
      <w:spacing w:line="150" w:lineRule="exact"/>
    </w:pPr>
    <w:rPr>
      <w:color w:val="303034" w:themeColor="text1" w:themeShade="BF"/>
      <w:sz w:val="16"/>
      <w:szCs w:val="16"/>
      <w:lang w:val="en-US"/>
    </w:rPr>
  </w:style>
  <w:style w:type="character" w:customStyle="1" w:styleId="FootnoteTextChar">
    <w:name w:val="Footnote Text Char"/>
    <w:aliases w:val="IANSA - Footnote text Char"/>
    <w:basedOn w:val="DefaultParagraphFont"/>
    <w:link w:val="FootnoteText"/>
    <w:uiPriority w:val="99"/>
    <w:rsid w:val="00826B36"/>
    <w:rPr>
      <w:color w:val="303034" w:themeColor="text1" w:themeShade="BF"/>
      <w:sz w:val="16"/>
      <w:szCs w:val="16"/>
      <w:lang w:val="en-US"/>
    </w:rPr>
  </w:style>
  <w:style w:type="paragraph" w:styleId="EndnoteText">
    <w:name w:val="endnote text"/>
    <w:basedOn w:val="Normal"/>
    <w:link w:val="EndnoteTextChar"/>
    <w:semiHidden/>
    <w:rsid w:val="009E39D9"/>
    <w:rPr>
      <w:rFonts w:ascii="Times New Roman" w:eastAsia="Times New Roman" w:hAnsi="Times New Roman" w:cs="Arial"/>
      <w:sz w:val="20"/>
      <w:szCs w:val="20"/>
      <w:lang w:val="en-GB"/>
    </w:rPr>
  </w:style>
  <w:style w:type="character" w:customStyle="1" w:styleId="EndnoteTextChar">
    <w:name w:val="Endnote Text Char"/>
    <w:basedOn w:val="DefaultParagraphFont"/>
    <w:link w:val="EndnoteText"/>
    <w:semiHidden/>
    <w:rsid w:val="009E39D9"/>
    <w:rPr>
      <w:rFonts w:ascii="Times New Roman" w:eastAsia="Times New Roman" w:hAnsi="Times New Roman" w:cs="Arial"/>
      <w:sz w:val="20"/>
      <w:szCs w:val="20"/>
    </w:rPr>
  </w:style>
  <w:style w:type="character" w:styleId="EndnoteReference">
    <w:name w:val="endnote reference"/>
    <w:semiHidden/>
    <w:rsid w:val="009E39D9"/>
    <w:rPr>
      <w:vertAlign w:val="superscript"/>
    </w:rPr>
  </w:style>
  <w:style w:type="paragraph" w:styleId="Header">
    <w:name w:val="header"/>
    <w:basedOn w:val="Normal"/>
    <w:link w:val="HeaderChar"/>
    <w:uiPriority w:val="99"/>
    <w:unhideWhenUsed/>
    <w:rsid w:val="009E3C59"/>
    <w:pPr>
      <w:tabs>
        <w:tab w:val="center" w:pos="4513"/>
        <w:tab w:val="right" w:pos="9026"/>
      </w:tabs>
    </w:pPr>
  </w:style>
  <w:style w:type="character" w:customStyle="1" w:styleId="HeaderChar">
    <w:name w:val="Header Char"/>
    <w:basedOn w:val="DefaultParagraphFont"/>
    <w:link w:val="Header"/>
    <w:uiPriority w:val="99"/>
    <w:rsid w:val="009E3C59"/>
    <w:rPr>
      <w:lang w:val="en-US"/>
    </w:rPr>
  </w:style>
  <w:style w:type="character" w:styleId="PageNumber">
    <w:name w:val="page number"/>
    <w:basedOn w:val="IANSABodytextBold"/>
    <w:uiPriority w:val="99"/>
    <w:semiHidden/>
    <w:unhideWhenUsed/>
    <w:rsid w:val="00124433"/>
    <w:rPr>
      <w:rFonts w:ascii="Poppins" w:hAnsi="Poppins" w:cs="Poppins"/>
      <w:b/>
      <w:bCs/>
      <w:color w:val="1ECAD3"/>
      <w:sz w:val="20"/>
    </w:rPr>
  </w:style>
  <w:style w:type="character" w:customStyle="1" w:styleId="UnresolvedMention">
    <w:name w:val="Unresolved Mention"/>
    <w:basedOn w:val="DefaultParagraphFont"/>
    <w:uiPriority w:val="99"/>
    <w:semiHidden/>
    <w:unhideWhenUsed/>
    <w:rsid w:val="00CC79A1"/>
    <w:rPr>
      <w:color w:val="605E5C"/>
      <w:shd w:val="clear" w:color="auto" w:fill="E1DFDD"/>
    </w:rPr>
  </w:style>
  <w:style w:type="character" w:customStyle="1" w:styleId="Heading1Char">
    <w:name w:val="Heading 1 Char"/>
    <w:basedOn w:val="DefaultParagraphFont"/>
    <w:link w:val="Heading1"/>
    <w:uiPriority w:val="9"/>
    <w:rsid w:val="00EB4778"/>
    <w:rPr>
      <w:rFonts w:asciiTheme="majorHAnsi" w:eastAsiaTheme="majorEastAsia" w:hAnsiTheme="majorHAnsi" w:cstheme="majorBidi"/>
      <w:b/>
      <w:bCs/>
      <w:smallCaps/>
      <w:color w:val="414046" w:themeColor="text1"/>
      <w:sz w:val="36"/>
      <w:szCs w:val="36"/>
    </w:rPr>
  </w:style>
  <w:style w:type="character" w:customStyle="1" w:styleId="Heading2Char">
    <w:name w:val="Heading 2 Char"/>
    <w:basedOn w:val="DefaultParagraphFont"/>
    <w:link w:val="Heading2"/>
    <w:uiPriority w:val="9"/>
    <w:rsid w:val="00EB4778"/>
    <w:rPr>
      <w:rFonts w:asciiTheme="majorHAnsi" w:eastAsiaTheme="majorEastAsia" w:hAnsiTheme="majorHAnsi" w:cstheme="majorBidi"/>
      <w:b/>
      <w:bCs/>
      <w:smallCaps/>
      <w:color w:val="414046" w:themeColor="text1"/>
      <w:sz w:val="28"/>
      <w:szCs w:val="28"/>
    </w:rPr>
  </w:style>
  <w:style w:type="character" w:customStyle="1" w:styleId="Heading3Char">
    <w:name w:val="Heading 3 Char"/>
    <w:basedOn w:val="DefaultParagraphFont"/>
    <w:link w:val="Heading3"/>
    <w:uiPriority w:val="9"/>
    <w:rsid w:val="00EB4778"/>
    <w:rPr>
      <w:rFonts w:asciiTheme="majorHAnsi" w:eastAsiaTheme="majorEastAsia" w:hAnsiTheme="majorHAnsi" w:cstheme="majorBidi"/>
      <w:b/>
      <w:bCs/>
      <w:color w:val="414046" w:themeColor="text1"/>
      <w:sz w:val="22"/>
      <w:szCs w:val="22"/>
    </w:rPr>
  </w:style>
  <w:style w:type="character" w:customStyle="1" w:styleId="Heading4Char">
    <w:name w:val="Heading 4 Char"/>
    <w:basedOn w:val="DefaultParagraphFont"/>
    <w:link w:val="Heading4"/>
    <w:uiPriority w:val="9"/>
    <w:semiHidden/>
    <w:rsid w:val="00EB4778"/>
    <w:rPr>
      <w:rFonts w:asciiTheme="majorHAnsi" w:eastAsiaTheme="majorEastAsia" w:hAnsiTheme="majorHAnsi" w:cstheme="majorBidi"/>
      <w:b/>
      <w:bCs/>
      <w:i/>
      <w:iCs/>
      <w:color w:val="414046" w:themeColor="text1"/>
      <w:sz w:val="22"/>
      <w:szCs w:val="22"/>
    </w:rPr>
  </w:style>
  <w:style w:type="character" w:customStyle="1" w:styleId="Heading5Char">
    <w:name w:val="Heading 5 Char"/>
    <w:basedOn w:val="DefaultParagraphFont"/>
    <w:link w:val="Heading5"/>
    <w:uiPriority w:val="9"/>
    <w:semiHidden/>
    <w:rsid w:val="00EB4778"/>
    <w:rPr>
      <w:rFonts w:asciiTheme="majorHAnsi" w:eastAsiaTheme="majorEastAsia" w:hAnsiTheme="majorHAnsi" w:cstheme="majorBidi"/>
      <w:color w:val="303034" w:themeColor="text2" w:themeShade="BF"/>
      <w:sz w:val="22"/>
      <w:szCs w:val="22"/>
    </w:rPr>
  </w:style>
  <w:style w:type="character" w:customStyle="1" w:styleId="Heading6Char">
    <w:name w:val="Heading 6 Char"/>
    <w:basedOn w:val="DefaultParagraphFont"/>
    <w:link w:val="Heading6"/>
    <w:uiPriority w:val="9"/>
    <w:semiHidden/>
    <w:rsid w:val="00EB4778"/>
    <w:rPr>
      <w:rFonts w:asciiTheme="majorHAnsi" w:eastAsiaTheme="majorEastAsia" w:hAnsiTheme="majorHAnsi" w:cstheme="majorBidi"/>
      <w:i/>
      <w:iCs/>
      <w:color w:val="303034" w:themeColor="text2" w:themeShade="BF"/>
      <w:sz w:val="22"/>
      <w:szCs w:val="22"/>
    </w:rPr>
  </w:style>
  <w:style w:type="character" w:customStyle="1" w:styleId="Heading7Char">
    <w:name w:val="Heading 7 Char"/>
    <w:basedOn w:val="DefaultParagraphFont"/>
    <w:link w:val="Heading7"/>
    <w:uiPriority w:val="9"/>
    <w:semiHidden/>
    <w:rsid w:val="00EB4778"/>
    <w:rPr>
      <w:rFonts w:asciiTheme="majorHAnsi" w:eastAsiaTheme="majorEastAsia" w:hAnsiTheme="majorHAnsi" w:cstheme="majorBidi"/>
      <w:i/>
      <w:iCs/>
      <w:color w:val="6E6D77" w:themeColor="text1" w:themeTint="BF"/>
      <w:sz w:val="22"/>
      <w:szCs w:val="22"/>
    </w:rPr>
  </w:style>
  <w:style w:type="character" w:customStyle="1" w:styleId="Heading8Char">
    <w:name w:val="Heading 8 Char"/>
    <w:basedOn w:val="DefaultParagraphFont"/>
    <w:link w:val="Heading8"/>
    <w:uiPriority w:val="9"/>
    <w:semiHidden/>
    <w:rsid w:val="00EB4778"/>
    <w:rPr>
      <w:rFonts w:asciiTheme="majorHAnsi" w:eastAsiaTheme="majorEastAsia" w:hAnsiTheme="majorHAnsi" w:cstheme="majorBidi"/>
      <w:color w:val="6E6D77" w:themeColor="text1" w:themeTint="BF"/>
      <w:sz w:val="20"/>
      <w:szCs w:val="20"/>
    </w:rPr>
  </w:style>
  <w:style w:type="character" w:customStyle="1" w:styleId="Heading9Char">
    <w:name w:val="Heading 9 Char"/>
    <w:basedOn w:val="DefaultParagraphFont"/>
    <w:link w:val="Heading9"/>
    <w:uiPriority w:val="9"/>
    <w:semiHidden/>
    <w:rsid w:val="00EB4778"/>
    <w:rPr>
      <w:rFonts w:asciiTheme="majorHAnsi" w:eastAsiaTheme="majorEastAsia" w:hAnsiTheme="majorHAnsi" w:cstheme="majorBidi"/>
      <w:i/>
      <w:iCs/>
      <w:color w:val="6E6D77" w:themeColor="text1" w:themeTint="BF"/>
      <w:sz w:val="20"/>
      <w:szCs w:val="20"/>
    </w:rPr>
  </w:style>
  <w:style w:type="character" w:styleId="FollowedHyperlink">
    <w:name w:val="FollowedHyperlink"/>
    <w:basedOn w:val="DefaultParagraphFont"/>
    <w:uiPriority w:val="99"/>
    <w:semiHidden/>
    <w:unhideWhenUsed/>
    <w:rsid w:val="00EB4778"/>
    <w:rPr>
      <w:color w:val="001D61" w:themeColor="followedHyperlink"/>
      <w:u w:val="single"/>
    </w:rPr>
  </w:style>
  <w:style w:type="character" w:styleId="CommentReference">
    <w:name w:val="annotation reference"/>
    <w:basedOn w:val="DefaultParagraphFont"/>
    <w:uiPriority w:val="99"/>
    <w:semiHidden/>
    <w:unhideWhenUsed/>
    <w:rsid w:val="004E2FBD"/>
    <w:rPr>
      <w:sz w:val="16"/>
      <w:szCs w:val="16"/>
    </w:rPr>
  </w:style>
  <w:style w:type="paragraph" w:styleId="CommentText">
    <w:name w:val="annotation text"/>
    <w:basedOn w:val="Normal"/>
    <w:link w:val="CommentTextChar"/>
    <w:uiPriority w:val="99"/>
    <w:unhideWhenUsed/>
    <w:rsid w:val="004E2FBD"/>
    <w:rPr>
      <w:sz w:val="20"/>
      <w:szCs w:val="20"/>
    </w:rPr>
  </w:style>
  <w:style w:type="character" w:customStyle="1" w:styleId="CommentTextChar">
    <w:name w:val="Comment Text Char"/>
    <w:basedOn w:val="DefaultParagraphFont"/>
    <w:link w:val="CommentText"/>
    <w:uiPriority w:val="99"/>
    <w:rsid w:val="004E2FBD"/>
    <w:rPr>
      <w:sz w:val="20"/>
      <w:szCs w:val="20"/>
      <w:lang w:val="en-US"/>
    </w:rPr>
  </w:style>
  <w:style w:type="paragraph" w:styleId="CommentSubject">
    <w:name w:val="annotation subject"/>
    <w:basedOn w:val="CommentText"/>
    <w:next w:val="CommentText"/>
    <w:link w:val="CommentSubjectChar"/>
    <w:uiPriority w:val="99"/>
    <w:semiHidden/>
    <w:unhideWhenUsed/>
    <w:rsid w:val="004E2FBD"/>
    <w:rPr>
      <w:b/>
      <w:bCs/>
    </w:rPr>
  </w:style>
  <w:style w:type="character" w:customStyle="1" w:styleId="CommentSubjectChar">
    <w:name w:val="Comment Subject Char"/>
    <w:basedOn w:val="CommentTextChar"/>
    <w:link w:val="CommentSubject"/>
    <w:uiPriority w:val="99"/>
    <w:semiHidden/>
    <w:rsid w:val="004E2FBD"/>
    <w:rPr>
      <w:b/>
      <w:bCs/>
      <w:sz w:val="20"/>
      <w:szCs w:val="20"/>
      <w:lang w:val="en-US"/>
    </w:rPr>
  </w:style>
  <w:style w:type="paragraph" w:styleId="NormalWeb">
    <w:name w:val="Normal (Web)"/>
    <w:basedOn w:val="Normal"/>
    <w:uiPriority w:val="99"/>
    <w:semiHidden/>
    <w:unhideWhenUsed/>
    <w:rsid w:val="0018446D"/>
    <w:pPr>
      <w:spacing w:before="100" w:beforeAutospacing="1" w:after="100" w:afterAutospacing="1"/>
    </w:pPr>
    <w:rPr>
      <w:rFonts w:ascii="Times New Roman" w:eastAsia="Times New Roman" w:hAnsi="Times New Roman" w:cs="Times New Roman"/>
      <w:lang w:val="en-GB" w:eastAsia="en-GB"/>
    </w:rPr>
  </w:style>
  <w:style w:type="paragraph" w:styleId="Revision">
    <w:name w:val="Revision"/>
    <w:hidden/>
    <w:uiPriority w:val="99"/>
    <w:semiHidden/>
    <w:rsid w:val="00A77F2E"/>
    <w:rPr>
      <w:lang w:val="en-US"/>
    </w:rPr>
  </w:style>
  <w:style w:type="paragraph" w:customStyle="1" w:styleId="IANSA-MainTitle">
    <w:name w:val="IANSA - Main Title"/>
    <w:autoRedefine/>
    <w:qFormat/>
    <w:rsid w:val="00B16787"/>
    <w:pPr>
      <w:spacing w:line="168" w:lineRule="auto"/>
      <w:jc w:val="both"/>
    </w:pPr>
    <w:rPr>
      <w:rFonts w:ascii="Poppins" w:hAnsi="Poppins" w:cs="Poppins"/>
      <w:b/>
      <w:bCs/>
      <w:color w:val="001E61"/>
      <w:sz w:val="34"/>
      <w:szCs w:val="32"/>
      <w:lang w:val="en-US"/>
    </w:rPr>
  </w:style>
  <w:style w:type="paragraph" w:customStyle="1" w:styleId="IANSA-QuoteStyle">
    <w:name w:val="IANSA - Quote Style"/>
    <w:autoRedefine/>
    <w:qFormat/>
    <w:rsid w:val="000B380B"/>
    <w:pPr>
      <w:spacing w:before="200" w:after="120" w:line="210" w:lineRule="exact"/>
    </w:pPr>
    <w:rPr>
      <w:rFonts w:ascii="Poppins SemiBold" w:eastAsia="Times New Roman" w:hAnsi="Poppins SemiBold" w:cs="Poppins SemiBold"/>
      <w:b/>
      <w:bCs/>
      <w:i/>
      <w:iCs/>
      <w:color w:val="F5333F"/>
      <w:sz w:val="18"/>
      <w:szCs w:val="18"/>
      <w:lang w:eastAsia="en-GB"/>
    </w:rPr>
  </w:style>
  <w:style w:type="paragraph" w:customStyle="1" w:styleId="IANSA-QuoteSourceName">
    <w:name w:val="IANSA - Quote Source Name"/>
    <w:autoRedefine/>
    <w:qFormat/>
    <w:rsid w:val="000B380B"/>
    <w:pPr>
      <w:spacing w:after="100"/>
    </w:pPr>
    <w:rPr>
      <w:rFonts w:ascii="Poppins" w:eastAsia="Times New Roman" w:hAnsi="Poppins" w:cs="Poppins"/>
      <w:b/>
      <w:bCs/>
      <w:color w:val="F5333F"/>
      <w:sz w:val="13"/>
      <w:szCs w:val="13"/>
      <w:lang w:eastAsia="en-GB"/>
    </w:rPr>
  </w:style>
  <w:style w:type="paragraph" w:customStyle="1" w:styleId="IANSA-Bodytext">
    <w:name w:val="IANSA - Body text"/>
    <w:link w:val="IANSA-BodytextChar"/>
    <w:autoRedefine/>
    <w:qFormat/>
    <w:rsid w:val="00AD1FFD"/>
    <w:pPr>
      <w:spacing w:after="240" w:line="220" w:lineRule="exact"/>
      <w:jc w:val="both"/>
    </w:pPr>
    <w:rPr>
      <w:rFonts w:ascii="Poppins" w:eastAsia="Times New Roman" w:hAnsi="Poppins" w:cs="Poppins Medium"/>
      <w:color w:val="424147"/>
      <w:sz w:val="18"/>
      <w:szCs w:val="18"/>
      <w:lang w:val="en-CA" w:eastAsia="en-GB"/>
    </w:rPr>
  </w:style>
  <w:style w:type="paragraph" w:customStyle="1" w:styleId="IANSA-BoldBodyCopy">
    <w:name w:val="IANSA - Bold Body Copy"/>
    <w:autoRedefine/>
    <w:qFormat/>
    <w:rsid w:val="000B380B"/>
    <w:pPr>
      <w:spacing w:after="240" w:line="220" w:lineRule="exact"/>
    </w:pPr>
    <w:rPr>
      <w:rFonts w:ascii="Poppins SemiBold" w:eastAsia="Times New Roman" w:hAnsi="Poppins SemiBold" w:cs="Poppins SemiBold"/>
      <w:b/>
      <w:bCs/>
      <w:color w:val="414047"/>
      <w:sz w:val="18"/>
      <w:szCs w:val="18"/>
      <w:lang w:eastAsia="en-GB"/>
    </w:rPr>
  </w:style>
  <w:style w:type="paragraph" w:customStyle="1" w:styleId="IANSA-Subheading">
    <w:name w:val="IANSA - Sub heading"/>
    <w:autoRedefine/>
    <w:qFormat/>
    <w:rsid w:val="008E3CC4"/>
    <w:pPr>
      <w:spacing w:after="120" w:line="264" w:lineRule="exact"/>
      <w:jc w:val="both"/>
    </w:pPr>
    <w:rPr>
      <w:rFonts w:ascii="Poppins" w:eastAsia="Times New Roman" w:hAnsi="Poppins" w:cs="Poppins Medium"/>
      <w:b/>
      <w:color w:val="FF0000"/>
      <w:sz w:val="22"/>
      <w:szCs w:val="22"/>
      <w:lang w:val="en-CA" w:eastAsia="en-GB"/>
    </w:rPr>
  </w:style>
  <w:style w:type="paragraph" w:customStyle="1" w:styleId="IANSA-RedLine">
    <w:name w:val="IANSA - Red Line"/>
    <w:qFormat/>
    <w:rsid w:val="00075051"/>
    <w:pPr>
      <w:pBdr>
        <w:bottom w:val="single" w:sz="4" w:space="0" w:color="F5333F"/>
      </w:pBdr>
    </w:pPr>
    <w:rPr>
      <w:rFonts w:ascii="Poppins SemiBold" w:eastAsia="Times New Roman" w:hAnsi="Poppins SemiBold" w:cs="Poppins SemiBold"/>
      <w:b/>
      <w:bCs/>
      <w:i/>
      <w:iCs/>
      <w:color w:val="F5333F"/>
      <w:sz w:val="18"/>
      <w:szCs w:val="18"/>
      <w:lang w:eastAsia="en-GB"/>
    </w:rPr>
  </w:style>
  <w:style w:type="character" w:customStyle="1" w:styleId="IANSABodytextBold">
    <w:name w:val="IANSA Body text Bold"/>
    <w:uiPriority w:val="1"/>
    <w:qFormat/>
    <w:rsid w:val="006435F2"/>
    <w:rPr>
      <w:rFonts w:ascii="Poppins" w:hAnsi="Poppins" w:cs="Poppins"/>
      <w:b/>
      <w:bCs/>
    </w:rPr>
  </w:style>
  <w:style w:type="paragraph" w:customStyle="1" w:styleId="IANSA-BulletPoint1">
    <w:name w:val="IANSA - Bullet Point 1"/>
    <w:basedOn w:val="IANSA-Bodytext"/>
    <w:qFormat/>
    <w:rsid w:val="006435F2"/>
    <w:pPr>
      <w:numPr>
        <w:numId w:val="8"/>
      </w:numPr>
    </w:pPr>
  </w:style>
  <w:style w:type="paragraph" w:customStyle="1" w:styleId="IANSABulletPoint2">
    <w:name w:val="IANSA Bullet Point 2"/>
    <w:basedOn w:val="IANSA-Bodytext"/>
    <w:qFormat/>
    <w:rsid w:val="006435F2"/>
    <w:pPr>
      <w:numPr>
        <w:numId w:val="11"/>
      </w:numPr>
    </w:pPr>
  </w:style>
  <w:style w:type="paragraph" w:customStyle="1" w:styleId="IANSAInfoBox">
    <w:name w:val="IANSA Info Box"/>
    <w:autoRedefine/>
    <w:qFormat/>
    <w:rsid w:val="000B380B"/>
    <w:pPr>
      <w:pBdr>
        <w:top w:val="single" w:sz="24" w:space="6" w:color="F2F2F2" w:themeColor="background1" w:themeShade="F2"/>
        <w:left w:val="single" w:sz="24" w:space="6" w:color="F2F2F2" w:themeColor="background1" w:themeShade="F2"/>
        <w:bottom w:val="single" w:sz="24" w:space="6" w:color="F2F2F2" w:themeColor="background1" w:themeShade="F2"/>
        <w:right w:val="single" w:sz="24" w:space="6" w:color="F2F2F2" w:themeColor="background1" w:themeShade="F2"/>
      </w:pBdr>
      <w:shd w:val="clear" w:color="auto" w:fill="F2F2F2" w:themeFill="background1" w:themeFillShade="F2"/>
      <w:spacing w:before="120"/>
      <w:ind w:left="170" w:right="170"/>
    </w:pPr>
    <w:rPr>
      <w:rFonts w:ascii="Poppins" w:hAnsi="Poppins" w:cs="Poppins"/>
      <w:b/>
      <w:bCs/>
      <w:color w:val="F5333F"/>
      <w:sz w:val="15"/>
      <w:szCs w:val="15"/>
    </w:rPr>
  </w:style>
  <w:style w:type="paragraph" w:customStyle="1" w:styleId="IANSAInfoBoxbody">
    <w:name w:val="IANSA Info Box body"/>
    <w:basedOn w:val="IANSA-Bodytext"/>
    <w:autoRedefine/>
    <w:qFormat/>
    <w:rsid w:val="00D11875"/>
    <w:pPr>
      <w:pBdr>
        <w:top w:val="single" w:sz="24" w:space="6" w:color="F2F2F2" w:themeColor="background1" w:themeShade="F2"/>
        <w:left w:val="single" w:sz="24" w:space="6" w:color="F2F2F2" w:themeColor="background1" w:themeShade="F2"/>
        <w:bottom w:val="single" w:sz="24" w:space="6" w:color="F2F2F2" w:themeColor="background1" w:themeShade="F2"/>
        <w:right w:val="single" w:sz="24" w:space="6" w:color="F2F2F2" w:themeColor="background1" w:themeShade="F2"/>
      </w:pBdr>
      <w:shd w:val="clear" w:color="auto" w:fill="F2F2F2" w:themeFill="background1" w:themeFillShade="F2"/>
      <w:ind w:left="170" w:right="170"/>
    </w:pPr>
    <w:rPr>
      <w:sz w:val="16"/>
      <w:szCs w:val="16"/>
    </w:rPr>
  </w:style>
  <w:style w:type="paragraph" w:styleId="Footer">
    <w:name w:val="footer"/>
    <w:basedOn w:val="Normal"/>
    <w:link w:val="FooterChar"/>
    <w:uiPriority w:val="99"/>
    <w:unhideWhenUsed/>
    <w:rsid w:val="00434AF0"/>
    <w:pPr>
      <w:tabs>
        <w:tab w:val="center" w:pos="4513"/>
        <w:tab w:val="right" w:pos="9026"/>
      </w:tabs>
    </w:pPr>
  </w:style>
  <w:style w:type="character" w:customStyle="1" w:styleId="FooterChar">
    <w:name w:val="Footer Char"/>
    <w:basedOn w:val="DefaultParagraphFont"/>
    <w:link w:val="Footer"/>
    <w:uiPriority w:val="99"/>
    <w:rsid w:val="00434AF0"/>
    <w:rPr>
      <w:lang w:val="en-US"/>
    </w:rPr>
  </w:style>
  <w:style w:type="paragraph" w:styleId="NoSpacing">
    <w:name w:val="No Spacing"/>
    <w:link w:val="NoSpacingChar"/>
    <w:uiPriority w:val="1"/>
    <w:qFormat/>
    <w:rsid w:val="00486C98"/>
    <w:rPr>
      <w:rFonts w:eastAsiaTheme="minorEastAsia"/>
      <w:sz w:val="22"/>
      <w:szCs w:val="22"/>
      <w:lang w:val="en-US" w:eastAsia="zh-CN"/>
    </w:rPr>
  </w:style>
  <w:style w:type="character" w:customStyle="1" w:styleId="NoSpacingChar">
    <w:name w:val="No Spacing Char"/>
    <w:basedOn w:val="DefaultParagraphFont"/>
    <w:link w:val="NoSpacing"/>
    <w:uiPriority w:val="1"/>
    <w:rsid w:val="00486C98"/>
    <w:rPr>
      <w:rFonts w:eastAsiaTheme="minorEastAsia"/>
      <w:sz w:val="22"/>
      <w:szCs w:val="22"/>
      <w:lang w:val="en-US" w:eastAsia="zh-CN"/>
    </w:rPr>
  </w:style>
  <w:style w:type="paragraph" w:customStyle="1" w:styleId="IANSAHyperlink">
    <w:name w:val="IANSA Hyperlink"/>
    <w:basedOn w:val="FootnoteText"/>
    <w:link w:val="IANSAHyperlinkChar"/>
    <w:autoRedefine/>
    <w:qFormat/>
    <w:rsid w:val="009D0AA3"/>
    <w:rPr>
      <w:color w:val="F5333F"/>
      <w:u w:val="single"/>
      <w14:textFill>
        <w14:solidFill>
          <w14:srgbClr w14:val="F5333F">
            <w14:lumMod w14:val="75000"/>
          </w14:srgbClr>
        </w14:solidFill>
      </w14:textFill>
    </w:rPr>
  </w:style>
  <w:style w:type="character" w:customStyle="1" w:styleId="IANSAHyperlinkChar">
    <w:name w:val="IANSA Hyperlink Char"/>
    <w:basedOn w:val="FootnoteTextChar"/>
    <w:link w:val="IANSAHyperlink"/>
    <w:rsid w:val="009D0AA3"/>
    <w:rPr>
      <w:rFonts w:ascii="Poppins" w:hAnsi="Poppins"/>
      <w:color w:val="F5333F"/>
      <w:sz w:val="12"/>
      <w:szCs w:val="20"/>
      <w:u w:val="single"/>
      <w:lang w:val="en-US"/>
    </w:rPr>
  </w:style>
  <w:style w:type="paragraph" w:customStyle="1" w:styleId="IANSABodyTextSemiBold">
    <w:name w:val="IANSA Body Text Semi Bold"/>
    <w:basedOn w:val="IANSA-Bodytext"/>
    <w:link w:val="IANSABodyTextSemiBoldChar"/>
    <w:qFormat/>
    <w:rsid w:val="008C5585"/>
    <w:rPr>
      <w:rFonts w:ascii="Poppins SemiBold" w:hAnsi="Poppins SemiBold"/>
      <w:color w:val="001E61"/>
    </w:rPr>
  </w:style>
  <w:style w:type="character" w:customStyle="1" w:styleId="IANSA-BodytextChar">
    <w:name w:val="IANSA - Body text Char"/>
    <w:basedOn w:val="DefaultParagraphFont"/>
    <w:link w:val="IANSA-Bodytext"/>
    <w:rsid w:val="00AD1FFD"/>
    <w:rPr>
      <w:rFonts w:ascii="Poppins" w:eastAsia="Times New Roman" w:hAnsi="Poppins" w:cs="Poppins Medium"/>
      <w:color w:val="424147"/>
      <w:sz w:val="18"/>
      <w:szCs w:val="18"/>
      <w:lang w:val="en-CA" w:eastAsia="en-GB"/>
    </w:rPr>
  </w:style>
  <w:style w:type="character" w:customStyle="1" w:styleId="IANSABodyTextSemiBoldChar">
    <w:name w:val="IANSA Body Text Semi Bold Char"/>
    <w:basedOn w:val="IANSA-BodytextChar"/>
    <w:link w:val="IANSABodyTextSemiBold"/>
    <w:rsid w:val="008C5585"/>
    <w:rPr>
      <w:rFonts w:ascii="Poppins SemiBold" w:eastAsia="Times New Roman" w:hAnsi="Poppins SemiBold" w:cs="Poppins Medium"/>
      <w:color w:val="001E61"/>
      <w:sz w:val="18"/>
      <w:szCs w:val="18"/>
      <w:lang w:val="en-CA" w:eastAsia="en-GB"/>
    </w:rPr>
  </w:style>
  <w:style w:type="table" w:styleId="TableGrid">
    <w:name w:val="Table Grid"/>
    <w:basedOn w:val="TableNormal"/>
    <w:uiPriority w:val="39"/>
    <w:rsid w:val="0098156B"/>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rsid w:val="003206FC"/>
    <w:rPr>
      <w:color w:val="605E5C"/>
      <w:shd w:val="clear" w:color="auto" w:fill="E1DFDD"/>
    </w:rPr>
  </w:style>
  <w:style w:type="paragraph" w:customStyle="1" w:styleId="font0">
    <w:name w:val="font0"/>
    <w:basedOn w:val="Normal"/>
    <w:rsid w:val="003206FC"/>
    <w:pPr>
      <w:spacing w:before="100" w:beforeAutospacing="1" w:after="100" w:afterAutospacing="1"/>
    </w:pPr>
    <w:rPr>
      <w:rFonts w:ascii="Arial" w:hAnsi="Arial" w:cs="Arial"/>
      <w:color w:val="000000"/>
      <w:sz w:val="20"/>
      <w:szCs w:val="20"/>
    </w:rPr>
  </w:style>
  <w:style w:type="paragraph" w:customStyle="1" w:styleId="xl64">
    <w:name w:val="xl64"/>
    <w:basedOn w:val="Normal"/>
    <w:rsid w:val="003206FC"/>
    <w:pPr>
      <w:pBdr>
        <w:top w:val="single" w:sz="4" w:space="0" w:color="000000"/>
        <w:left w:val="single" w:sz="4" w:space="0" w:color="000000"/>
        <w:bottom w:val="single" w:sz="4" w:space="0" w:color="000000"/>
        <w:right w:val="single" w:sz="4" w:space="0" w:color="000000"/>
      </w:pBdr>
      <w:shd w:val="clear" w:color="CCCCCC" w:fill="CCCCCC"/>
      <w:spacing w:before="100" w:beforeAutospacing="1" w:after="100" w:afterAutospacing="1"/>
      <w:textAlignment w:val="top"/>
    </w:pPr>
    <w:rPr>
      <w:rFonts w:ascii="Helvetica" w:hAnsi="Helvetica" w:cs="Times New Roman"/>
      <w:color w:val="000000"/>
    </w:rPr>
  </w:style>
  <w:style w:type="paragraph" w:customStyle="1" w:styleId="xl65">
    <w:name w:val="xl65"/>
    <w:basedOn w:val="Normal"/>
    <w:rsid w:val="003206FC"/>
    <w:pPr>
      <w:pBdr>
        <w:top w:val="single" w:sz="4" w:space="0" w:color="000000"/>
        <w:left w:val="single" w:sz="4" w:space="0" w:color="000000"/>
        <w:bottom w:val="single" w:sz="4" w:space="0" w:color="000000"/>
        <w:right w:val="single" w:sz="4" w:space="0" w:color="000000"/>
      </w:pBdr>
      <w:shd w:val="clear" w:color="CCCCCC" w:fill="CCCCCC"/>
      <w:spacing w:before="100" w:beforeAutospacing="1" w:after="100" w:afterAutospacing="1"/>
      <w:textAlignment w:val="top"/>
    </w:pPr>
    <w:rPr>
      <w:rFonts w:ascii="Helvetica" w:hAnsi="Helvetica" w:cs="Times New Roman"/>
      <w:color w:val="000000"/>
    </w:rPr>
  </w:style>
  <w:style w:type="paragraph" w:customStyle="1" w:styleId="xl66">
    <w:name w:val="xl66"/>
    <w:basedOn w:val="Normal"/>
    <w:rsid w:val="003206FC"/>
    <w:pPr>
      <w:pBdr>
        <w:top w:val="single" w:sz="4" w:space="0" w:color="000000"/>
        <w:left w:val="single" w:sz="4" w:space="0" w:color="000000"/>
        <w:bottom w:val="single" w:sz="4" w:space="0" w:color="000000"/>
        <w:right w:val="single" w:sz="4" w:space="0" w:color="000000"/>
      </w:pBdr>
      <w:shd w:val="clear" w:color="CCCCCC" w:fill="CCCCCC"/>
      <w:spacing w:before="100" w:beforeAutospacing="1" w:after="100" w:afterAutospacing="1"/>
      <w:textAlignment w:val="top"/>
    </w:pPr>
    <w:rPr>
      <w:rFonts w:ascii="Helvetica" w:hAnsi="Helvetica" w:cs="Times New Roman"/>
      <w:color w:val="000000"/>
    </w:rPr>
  </w:style>
  <w:style w:type="paragraph" w:customStyle="1" w:styleId="xl67">
    <w:name w:val="xl67"/>
    <w:basedOn w:val="Normal"/>
    <w:rsid w:val="003206FC"/>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rFonts w:ascii="Helvetica" w:hAnsi="Helvetica" w:cs="Times New Roman"/>
      <w:color w:val="222222"/>
    </w:rPr>
  </w:style>
  <w:style w:type="paragraph" w:customStyle="1" w:styleId="xl68">
    <w:name w:val="xl68"/>
    <w:basedOn w:val="Normal"/>
    <w:rsid w:val="003206FC"/>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rFonts w:ascii="Helvetica" w:hAnsi="Helvetica" w:cs="Times New Roman"/>
      <w:color w:val="000000"/>
    </w:rPr>
  </w:style>
  <w:style w:type="paragraph" w:customStyle="1" w:styleId="xl69">
    <w:name w:val="xl69"/>
    <w:basedOn w:val="Normal"/>
    <w:rsid w:val="003206F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Helvetica" w:hAnsi="Helvetica" w:cs="Times New Roman"/>
      <w:color w:val="000000"/>
    </w:rPr>
  </w:style>
  <w:style w:type="paragraph" w:customStyle="1" w:styleId="xl70">
    <w:name w:val="xl70"/>
    <w:basedOn w:val="Normal"/>
    <w:rsid w:val="003206F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Helvetica" w:hAnsi="Helvetica" w:cs="Times New Roman"/>
    </w:rPr>
  </w:style>
  <w:style w:type="paragraph" w:customStyle="1" w:styleId="xl71">
    <w:name w:val="xl71"/>
    <w:basedOn w:val="Normal"/>
    <w:rsid w:val="003206F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Helvetica" w:hAnsi="Helvetica" w:cs="Times New Roman"/>
      <w:color w:val="2222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9227">
      <w:bodyDiv w:val="1"/>
      <w:marLeft w:val="0"/>
      <w:marRight w:val="0"/>
      <w:marTop w:val="0"/>
      <w:marBottom w:val="0"/>
      <w:divBdr>
        <w:top w:val="none" w:sz="0" w:space="0" w:color="auto"/>
        <w:left w:val="none" w:sz="0" w:space="0" w:color="auto"/>
        <w:bottom w:val="none" w:sz="0" w:space="0" w:color="auto"/>
        <w:right w:val="none" w:sz="0" w:space="0" w:color="auto"/>
      </w:divBdr>
    </w:div>
    <w:div w:id="20054923">
      <w:bodyDiv w:val="1"/>
      <w:marLeft w:val="0"/>
      <w:marRight w:val="0"/>
      <w:marTop w:val="0"/>
      <w:marBottom w:val="0"/>
      <w:divBdr>
        <w:top w:val="none" w:sz="0" w:space="0" w:color="auto"/>
        <w:left w:val="none" w:sz="0" w:space="0" w:color="auto"/>
        <w:bottom w:val="none" w:sz="0" w:space="0" w:color="auto"/>
        <w:right w:val="none" w:sz="0" w:space="0" w:color="auto"/>
      </w:divBdr>
    </w:div>
    <w:div w:id="77488422">
      <w:bodyDiv w:val="1"/>
      <w:marLeft w:val="0"/>
      <w:marRight w:val="0"/>
      <w:marTop w:val="0"/>
      <w:marBottom w:val="0"/>
      <w:divBdr>
        <w:top w:val="none" w:sz="0" w:space="0" w:color="auto"/>
        <w:left w:val="none" w:sz="0" w:space="0" w:color="auto"/>
        <w:bottom w:val="none" w:sz="0" w:space="0" w:color="auto"/>
        <w:right w:val="none" w:sz="0" w:space="0" w:color="auto"/>
      </w:divBdr>
    </w:div>
    <w:div w:id="220100291">
      <w:bodyDiv w:val="1"/>
      <w:marLeft w:val="0"/>
      <w:marRight w:val="0"/>
      <w:marTop w:val="0"/>
      <w:marBottom w:val="0"/>
      <w:divBdr>
        <w:top w:val="none" w:sz="0" w:space="0" w:color="auto"/>
        <w:left w:val="none" w:sz="0" w:space="0" w:color="auto"/>
        <w:bottom w:val="none" w:sz="0" w:space="0" w:color="auto"/>
        <w:right w:val="none" w:sz="0" w:space="0" w:color="auto"/>
      </w:divBdr>
    </w:div>
    <w:div w:id="370962281">
      <w:bodyDiv w:val="1"/>
      <w:marLeft w:val="0"/>
      <w:marRight w:val="0"/>
      <w:marTop w:val="0"/>
      <w:marBottom w:val="0"/>
      <w:divBdr>
        <w:top w:val="none" w:sz="0" w:space="0" w:color="auto"/>
        <w:left w:val="none" w:sz="0" w:space="0" w:color="auto"/>
        <w:bottom w:val="none" w:sz="0" w:space="0" w:color="auto"/>
        <w:right w:val="none" w:sz="0" w:space="0" w:color="auto"/>
      </w:divBdr>
    </w:div>
    <w:div w:id="684015853">
      <w:bodyDiv w:val="1"/>
      <w:marLeft w:val="0"/>
      <w:marRight w:val="0"/>
      <w:marTop w:val="0"/>
      <w:marBottom w:val="0"/>
      <w:divBdr>
        <w:top w:val="none" w:sz="0" w:space="0" w:color="auto"/>
        <w:left w:val="none" w:sz="0" w:space="0" w:color="auto"/>
        <w:bottom w:val="none" w:sz="0" w:space="0" w:color="auto"/>
        <w:right w:val="none" w:sz="0" w:space="0" w:color="auto"/>
      </w:divBdr>
    </w:div>
    <w:div w:id="719789104">
      <w:bodyDiv w:val="1"/>
      <w:marLeft w:val="0"/>
      <w:marRight w:val="0"/>
      <w:marTop w:val="0"/>
      <w:marBottom w:val="0"/>
      <w:divBdr>
        <w:top w:val="none" w:sz="0" w:space="0" w:color="auto"/>
        <w:left w:val="none" w:sz="0" w:space="0" w:color="auto"/>
        <w:bottom w:val="none" w:sz="0" w:space="0" w:color="auto"/>
        <w:right w:val="none" w:sz="0" w:space="0" w:color="auto"/>
      </w:divBdr>
    </w:div>
    <w:div w:id="790897074">
      <w:bodyDiv w:val="1"/>
      <w:marLeft w:val="0"/>
      <w:marRight w:val="0"/>
      <w:marTop w:val="0"/>
      <w:marBottom w:val="0"/>
      <w:divBdr>
        <w:top w:val="none" w:sz="0" w:space="0" w:color="auto"/>
        <w:left w:val="none" w:sz="0" w:space="0" w:color="auto"/>
        <w:bottom w:val="none" w:sz="0" w:space="0" w:color="auto"/>
        <w:right w:val="none" w:sz="0" w:space="0" w:color="auto"/>
      </w:divBdr>
    </w:div>
    <w:div w:id="825587968">
      <w:bodyDiv w:val="1"/>
      <w:marLeft w:val="0"/>
      <w:marRight w:val="0"/>
      <w:marTop w:val="0"/>
      <w:marBottom w:val="0"/>
      <w:divBdr>
        <w:top w:val="none" w:sz="0" w:space="0" w:color="auto"/>
        <w:left w:val="none" w:sz="0" w:space="0" w:color="auto"/>
        <w:bottom w:val="none" w:sz="0" w:space="0" w:color="auto"/>
        <w:right w:val="none" w:sz="0" w:space="0" w:color="auto"/>
      </w:divBdr>
    </w:div>
    <w:div w:id="956764675">
      <w:bodyDiv w:val="1"/>
      <w:marLeft w:val="0"/>
      <w:marRight w:val="0"/>
      <w:marTop w:val="0"/>
      <w:marBottom w:val="0"/>
      <w:divBdr>
        <w:top w:val="none" w:sz="0" w:space="0" w:color="auto"/>
        <w:left w:val="none" w:sz="0" w:space="0" w:color="auto"/>
        <w:bottom w:val="none" w:sz="0" w:space="0" w:color="auto"/>
        <w:right w:val="none" w:sz="0" w:space="0" w:color="auto"/>
      </w:divBdr>
    </w:div>
    <w:div w:id="957371796">
      <w:bodyDiv w:val="1"/>
      <w:marLeft w:val="0"/>
      <w:marRight w:val="0"/>
      <w:marTop w:val="0"/>
      <w:marBottom w:val="0"/>
      <w:divBdr>
        <w:top w:val="none" w:sz="0" w:space="0" w:color="auto"/>
        <w:left w:val="none" w:sz="0" w:space="0" w:color="auto"/>
        <w:bottom w:val="none" w:sz="0" w:space="0" w:color="auto"/>
        <w:right w:val="none" w:sz="0" w:space="0" w:color="auto"/>
      </w:divBdr>
    </w:div>
    <w:div w:id="1026171790">
      <w:bodyDiv w:val="1"/>
      <w:marLeft w:val="0"/>
      <w:marRight w:val="0"/>
      <w:marTop w:val="0"/>
      <w:marBottom w:val="0"/>
      <w:divBdr>
        <w:top w:val="none" w:sz="0" w:space="0" w:color="auto"/>
        <w:left w:val="none" w:sz="0" w:space="0" w:color="auto"/>
        <w:bottom w:val="none" w:sz="0" w:space="0" w:color="auto"/>
        <w:right w:val="none" w:sz="0" w:space="0" w:color="auto"/>
      </w:divBdr>
      <w:divsChild>
        <w:div w:id="58479752">
          <w:blockQuote w:val="1"/>
          <w:marLeft w:val="600"/>
          <w:marRight w:val="0"/>
          <w:marTop w:val="0"/>
          <w:marBottom w:val="0"/>
          <w:divBdr>
            <w:top w:val="none" w:sz="0" w:space="0" w:color="auto"/>
            <w:left w:val="none" w:sz="0" w:space="0" w:color="auto"/>
            <w:bottom w:val="none" w:sz="0" w:space="0" w:color="auto"/>
            <w:right w:val="none" w:sz="0" w:space="0" w:color="auto"/>
          </w:divBdr>
          <w:divsChild>
            <w:div w:id="1945259173">
              <w:marLeft w:val="0"/>
              <w:marRight w:val="0"/>
              <w:marTop w:val="0"/>
              <w:marBottom w:val="0"/>
              <w:divBdr>
                <w:top w:val="none" w:sz="0" w:space="0" w:color="auto"/>
                <w:left w:val="none" w:sz="0" w:space="0" w:color="auto"/>
                <w:bottom w:val="none" w:sz="0" w:space="0" w:color="auto"/>
                <w:right w:val="none" w:sz="0" w:space="0" w:color="auto"/>
              </w:divBdr>
            </w:div>
          </w:divsChild>
        </w:div>
        <w:div w:id="1414349650">
          <w:marLeft w:val="0"/>
          <w:marRight w:val="0"/>
          <w:marTop w:val="0"/>
          <w:marBottom w:val="0"/>
          <w:divBdr>
            <w:top w:val="none" w:sz="0" w:space="0" w:color="auto"/>
            <w:left w:val="none" w:sz="0" w:space="0" w:color="auto"/>
            <w:bottom w:val="none" w:sz="0" w:space="0" w:color="auto"/>
            <w:right w:val="none" w:sz="0" w:space="0" w:color="auto"/>
          </w:divBdr>
          <w:divsChild>
            <w:div w:id="1534150553">
              <w:blockQuote w:val="1"/>
              <w:marLeft w:val="600"/>
              <w:marRight w:val="0"/>
              <w:marTop w:val="0"/>
              <w:marBottom w:val="0"/>
              <w:divBdr>
                <w:top w:val="none" w:sz="0" w:space="0" w:color="auto"/>
                <w:left w:val="none" w:sz="0" w:space="0" w:color="auto"/>
                <w:bottom w:val="none" w:sz="0" w:space="0" w:color="auto"/>
                <w:right w:val="none" w:sz="0" w:space="0" w:color="auto"/>
              </w:divBdr>
              <w:divsChild>
                <w:div w:id="42376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936081">
      <w:bodyDiv w:val="1"/>
      <w:marLeft w:val="0"/>
      <w:marRight w:val="0"/>
      <w:marTop w:val="0"/>
      <w:marBottom w:val="0"/>
      <w:divBdr>
        <w:top w:val="none" w:sz="0" w:space="0" w:color="auto"/>
        <w:left w:val="none" w:sz="0" w:space="0" w:color="auto"/>
        <w:bottom w:val="none" w:sz="0" w:space="0" w:color="auto"/>
        <w:right w:val="none" w:sz="0" w:space="0" w:color="auto"/>
      </w:divBdr>
    </w:div>
    <w:div w:id="1175533351">
      <w:bodyDiv w:val="1"/>
      <w:marLeft w:val="0"/>
      <w:marRight w:val="0"/>
      <w:marTop w:val="0"/>
      <w:marBottom w:val="0"/>
      <w:divBdr>
        <w:top w:val="none" w:sz="0" w:space="0" w:color="auto"/>
        <w:left w:val="none" w:sz="0" w:space="0" w:color="auto"/>
        <w:bottom w:val="none" w:sz="0" w:space="0" w:color="auto"/>
        <w:right w:val="none" w:sz="0" w:space="0" w:color="auto"/>
      </w:divBdr>
    </w:div>
    <w:div w:id="1285843882">
      <w:bodyDiv w:val="1"/>
      <w:marLeft w:val="0"/>
      <w:marRight w:val="0"/>
      <w:marTop w:val="0"/>
      <w:marBottom w:val="0"/>
      <w:divBdr>
        <w:top w:val="none" w:sz="0" w:space="0" w:color="auto"/>
        <w:left w:val="none" w:sz="0" w:space="0" w:color="auto"/>
        <w:bottom w:val="none" w:sz="0" w:space="0" w:color="auto"/>
        <w:right w:val="none" w:sz="0" w:space="0" w:color="auto"/>
      </w:divBdr>
    </w:div>
    <w:div w:id="1296522470">
      <w:bodyDiv w:val="1"/>
      <w:marLeft w:val="0"/>
      <w:marRight w:val="0"/>
      <w:marTop w:val="0"/>
      <w:marBottom w:val="0"/>
      <w:divBdr>
        <w:top w:val="none" w:sz="0" w:space="0" w:color="auto"/>
        <w:left w:val="none" w:sz="0" w:space="0" w:color="auto"/>
        <w:bottom w:val="none" w:sz="0" w:space="0" w:color="auto"/>
        <w:right w:val="none" w:sz="0" w:space="0" w:color="auto"/>
      </w:divBdr>
      <w:divsChild>
        <w:div w:id="890116016">
          <w:marLeft w:val="0"/>
          <w:marRight w:val="0"/>
          <w:marTop w:val="0"/>
          <w:marBottom w:val="0"/>
          <w:divBdr>
            <w:top w:val="none" w:sz="0" w:space="0" w:color="auto"/>
            <w:left w:val="none" w:sz="0" w:space="0" w:color="auto"/>
            <w:bottom w:val="none" w:sz="0" w:space="0" w:color="auto"/>
            <w:right w:val="none" w:sz="0" w:space="0" w:color="auto"/>
          </w:divBdr>
          <w:divsChild>
            <w:div w:id="1819960388">
              <w:marLeft w:val="0"/>
              <w:marRight w:val="0"/>
              <w:marTop w:val="0"/>
              <w:marBottom w:val="0"/>
              <w:divBdr>
                <w:top w:val="none" w:sz="0" w:space="0" w:color="auto"/>
                <w:left w:val="none" w:sz="0" w:space="0" w:color="auto"/>
                <w:bottom w:val="none" w:sz="0" w:space="0" w:color="auto"/>
                <w:right w:val="none" w:sz="0" w:space="0" w:color="auto"/>
              </w:divBdr>
            </w:div>
          </w:divsChild>
        </w:div>
        <w:div w:id="715741459">
          <w:marLeft w:val="0"/>
          <w:marRight w:val="0"/>
          <w:marTop w:val="0"/>
          <w:marBottom w:val="0"/>
          <w:divBdr>
            <w:top w:val="none" w:sz="0" w:space="0" w:color="auto"/>
            <w:left w:val="none" w:sz="0" w:space="0" w:color="auto"/>
            <w:bottom w:val="none" w:sz="0" w:space="0" w:color="auto"/>
            <w:right w:val="none" w:sz="0" w:space="0" w:color="auto"/>
          </w:divBdr>
          <w:divsChild>
            <w:div w:id="125339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683">
      <w:bodyDiv w:val="1"/>
      <w:marLeft w:val="0"/>
      <w:marRight w:val="0"/>
      <w:marTop w:val="0"/>
      <w:marBottom w:val="0"/>
      <w:divBdr>
        <w:top w:val="none" w:sz="0" w:space="0" w:color="auto"/>
        <w:left w:val="none" w:sz="0" w:space="0" w:color="auto"/>
        <w:bottom w:val="none" w:sz="0" w:space="0" w:color="auto"/>
        <w:right w:val="none" w:sz="0" w:space="0" w:color="auto"/>
      </w:divBdr>
    </w:div>
    <w:div w:id="1585844486">
      <w:bodyDiv w:val="1"/>
      <w:marLeft w:val="0"/>
      <w:marRight w:val="0"/>
      <w:marTop w:val="0"/>
      <w:marBottom w:val="0"/>
      <w:divBdr>
        <w:top w:val="none" w:sz="0" w:space="0" w:color="auto"/>
        <w:left w:val="none" w:sz="0" w:space="0" w:color="auto"/>
        <w:bottom w:val="none" w:sz="0" w:space="0" w:color="auto"/>
        <w:right w:val="none" w:sz="0" w:space="0" w:color="auto"/>
      </w:divBdr>
      <w:divsChild>
        <w:div w:id="1573003537">
          <w:marLeft w:val="0"/>
          <w:marRight w:val="0"/>
          <w:marTop w:val="0"/>
          <w:marBottom w:val="0"/>
          <w:divBdr>
            <w:top w:val="none" w:sz="0" w:space="0" w:color="auto"/>
            <w:left w:val="none" w:sz="0" w:space="0" w:color="auto"/>
            <w:bottom w:val="none" w:sz="0" w:space="0" w:color="auto"/>
            <w:right w:val="none" w:sz="0" w:space="0" w:color="auto"/>
          </w:divBdr>
        </w:div>
        <w:div w:id="357390108">
          <w:marLeft w:val="0"/>
          <w:marRight w:val="0"/>
          <w:marTop w:val="0"/>
          <w:marBottom w:val="0"/>
          <w:divBdr>
            <w:top w:val="none" w:sz="0" w:space="0" w:color="auto"/>
            <w:left w:val="none" w:sz="0" w:space="0" w:color="auto"/>
            <w:bottom w:val="none" w:sz="0" w:space="0" w:color="auto"/>
            <w:right w:val="none" w:sz="0" w:space="0" w:color="auto"/>
          </w:divBdr>
        </w:div>
      </w:divsChild>
    </w:div>
    <w:div w:id="1946841281">
      <w:bodyDiv w:val="1"/>
      <w:marLeft w:val="0"/>
      <w:marRight w:val="0"/>
      <w:marTop w:val="0"/>
      <w:marBottom w:val="0"/>
      <w:divBdr>
        <w:top w:val="none" w:sz="0" w:space="0" w:color="auto"/>
        <w:left w:val="none" w:sz="0" w:space="0" w:color="auto"/>
        <w:bottom w:val="none" w:sz="0" w:space="0" w:color="auto"/>
        <w:right w:val="none" w:sz="0" w:space="0" w:color="auto"/>
      </w:divBdr>
    </w:div>
    <w:div w:id="1959872398">
      <w:bodyDiv w:val="1"/>
      <w:marLeft w:val="0"/>
      <w:marRight w:val="0"/>
      <w:marTop w:val="0"/>
      <w:marBottom w:val="0"/>
      <w:divBdr>
        <w:top w:val="none" w:sz="0" w:space="0" w:color="auto"/>
        <w:left w:val="none" w:sz="0" w:space="0" w:color="auto"/>
        <w:bottom w:val="none" w:sz="0" w:space="0" w:color="auto"/>
        <w:right w:val="none" w:sz="0" w:space="0" w:color="auto"/>
      </w:divBdr>
    </w:div>
    <w:div w:id="2002926929">
      <w:bodyDiv w:val="1"/>
      <w:marLeft w:val="0"/>
      <w:marRight w:val="0"/>
      <w:marTop w:val="0"/>
      <w:marBottom w:val="0"/>
      <w:divBdr>
        <w:top w:val="none" w:sz="0" w:space="0" w:color="auto"/>
        <w:left w:val="none" w:sz="0" w:space="0" w:color="auto"/>
        <w:bottom w:val="none" w:sz="0" w:space="0" w:color="auto"/>
        <w:right w:val="none" w:sz="0" w:space="0" w:color="auto"/>
      </w:divBdr>
    </w:div>
    <w:div w:id="2037998059">
      <w:bodyDiv w:val="1"/>
      <w:marLeft w:val="0"/>
      <w:marRight w:val="0"/>
      <w:marTop w:val="0"/>
      <w:marBottom w:val="0"/>
      <w:divBdr>
        <w:top w:val="none" w:sz="0" w:space="0" w:color="auto"/>
        <w:left w:val="none" w:sz="0" w:space="0" w:color="auto"/>
        <w:bottom w:val="none" w:sz="0" w:space="0" w:color="auto"/>
        <w:right w:val="none" w:sz="0" w:space="0" w:color="auto"/>
      </w:divBdr>
    </w:div>
    <w:div w:id="2101440579">
      <w:bodyDiv w:val="1"/>
      <w:marLeft w:val="0"/>
      <w:marRight w:val="0"/>
      <w:marTop w:val="0"/>
      <w:marBottom w:val="0"/>
      <w:divBdr>
        <w:top w:val="none" w:sz="0" w:space="0" w:color="auto"/>
        <w:left w:val="none" w:sz="0" w:space="0" w:color="auto"/>
        <w:bottom w:val="none" w:sz="0" w:space="0" w:color="auto"/>
        <w:right w:val="none" w:sz="0" w:space="0" w:color="auto"/>
      </w:divBdr>
    </w:div>
    <w:div w:id="2111385474">
      <w:bodyDiv w:val="1"/>
      <w:marLeft w:val="0"/>
      <w:marRight w:val="0"/>
      <w:marTop w:val="0"/>
      <w:marBottom w:val="0"/>
      <w:divBdr>
        <w:top w:val="none" w:sz="0" w:space="0" w:color="auto"/>
        <w:left w:val="none" w:sz="0" w:space="0" w:color="auto"/>
        <w:bottom w:val="none" w:sz="0" w:space="0" w:color="auto"/>
        <w:right w:val="none" w:sz="0" w:space="0" w:color="auto"/>
      </w:divBdr>
      <w:divsChild>
        <w:div w:id="885531083">
          <w:marLeft w:val="0"/>
          <w:marRight w:val="0"/>
          <w:marTop w:val="0"/>
          <w:marBottom w:val="0"/>
          <w:divBdr>
            <w:top w:val="none" w:sz="0" w:space="0" w:color="auto"/>
            <w:left w:val="none" w:sz="0" w:space="0" w:color="auto"/>
            <w:bottom w:val="none" w:sz="0" w:space="0" w:color="auto"/>
            <w:right w:val="none" w:sz="0" w:space="0" w:color="auto"/>
          </w:divBdr>
        </w:div>
      </w:divsChild>
    </w:div>
    <w:div w:id="214207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IANSA Theme">
  <a:themeElements>
    <a:clrScheme name="IANSA">
      <a:dk1>
        <a:srgbClr val="414046"/>
      </a:dk1>
      <a:lt1>
        <a:srgbClr val="FFFFFF"/>
      </a:lt1>
      <a:dk2>
        <a:srgbClr val="414046"/>
      </a:dk2>
      <a:lt2>
        <a:srgbClr val="FCF8FF"/>
      </a:lt2>
      <a:accent1>
        <a:srgbClr val="001D61"/>
      </a:accent1>
      <a:accent2>
        <a:srgbClr val="F4333E"/>
      </a:accent2>
      <a:accent3>
        <a:srgbClr val="414046"/>
      </a:accent3>
      <a:accent4>
        <a:srgbClr val="1DC9D3"/>
      </a:accent4>
      <a:accent5>
        <a:srgbClr val="868686"/>
      </a:accent5>
      <a:accent6>
        <a:srgbClr val="001D61"/>
      </a:accent6>
      <a:hlink>
        <a:srgbClr val="001D61"/>
      </a:hlink>
      <a:folHlink>
        <a:srgbClr val="001D6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ANSA Theme" id="{863BB2DA-4E83-9542-9C98-04A650DE244F}" vid="{9B954618-4DF8-194C-B4D0-D36DBD715CE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B3FF7-5883-CC46-A57B-BFAD2F0AB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2329</Words>
  <Characters>13277</Characters>
  <Application>Microsoft Macintosh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Amelie Namuroy</dc:creator>
  <cp:keywords/>
  <dc:description/>
  <cp:lastModifiedBy>Emily Callsen</cp:lastModifiedBy>
  <cp:revision>3</cp:revision>
  <cp:lastPrinted>2021-04-29T18:01:00Z</cp:lastPrinted>
  <dcterms:created xsi:type="dcterms:W3CDTF">2021-08-24T14:13:00Z</dcterms:created>
  <dcterms:modified xsi:type="dcterms:W3CDTF">2021-08-24T14:22:00Z</dcterms:modified>
</cp:coreProperties>
</file>